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D7F2EFA" w:rsidR="00E90E49" w:rsidRPr="001F764B" w:rsidRDefault="00E90E49" w:rsidP="00E35559">
      <w:pPr>
        <w:pStyle w:val="3GPPHeader"/>
        <w:spacing w:after="60"/>
        <w:rPr>
          <w:sz w:val="32"/>
          <w:szCs w:val="32"/>
          <w:highlight w:val="yellow"/>
        </w:rPr>
      </w:pPr>
      <w:r w:rsidRPr="001F764B">
        <w:t>3GPP TSG-RAN WG</w:t>
      </w:r>
      <w:r w:rsidR="008F1C4E" w:rsidRPr="001F764B">
        <w:t>1</w:t>
      </w:r>
      <w:r w:rsidRPr="001F764B">
        <w:t xml:space="preserve"> </w:t>
      </w:r>
      <w:r w:rsidR="008F1C4E" w:rsidRPr="001F764B">
        <w:t xml:space="preserve">Meeting </w:t>
      </w:r>
      <w:r w:rsidRPr="001F764B">
        <w:t>#</w:t>
      </w:r>
      <w:r w:rsidR="00CE0BF7" w:rsidRPr="001F764B">
        <w:t>9</w:t>
      </w:r>
      <w:r w:rsidR="00360BFB">
        <w:t>8</w:t>
      </w:r>
      <w:r w:rsidRPr="001F764B">
        <w:tab/>
      </w:r>
      <w:r w:rsidR="001B7CC2" w:rsidRPr="001B7CC2">
        <w:rPr>
          <w:sz w:val="32"/>
          <w:szCs w:val="32"/>
        </w:rPr>
        <w:t>R1-1909109</w:t>
      </w:r>
    </w:p>
    <w:p w14:paraId="25B6506E" w14:textId="4873A277" w:rsidR="00DB3592" w:rsidRPr="001F764B" w:rsidRDefault="00360BFB" w:rsidP="00DB3592">
      <w:pPr>
        <w:pStyle w:val="3GPPHeader"/>
      </w:pPr>
      <w:r>
        <w:t>Prague</w:t>
      </w:r>
      <w:r w:rsidR="0052454F" w:rsidRPr="0052454F">
        <w:t xml:space="preserve">, </w:t>
      </w:r>
      <w:r w:rsidR="00AF2EE3" w:rsidRPr="00AF2EE3">
        <w:t>Czech Republic</w:t>
      </w:r>
      <w:r w:rsidR="0052454F" w:rsidRPr="0052454F">
        <w:t xml:space="preserve">, </w:t>
      </w:r>
      <w:r w:rsidR="00AF2EE3">
        <w:t>26</w:t>
      </w:r>
      <w:r w:rsidR="0052454F" w:rsidRPr="0052454F">
        <w:t xml:space="preserve">th – </w:t>
      </w:r>
      <w:r w:rsidR="00AF2EE3">
        <w:t>30</w:t>
      </w:r>
      <w:r w:rsidR="0052454F" w:rsidRPr="0052454F">
        <w:t xml:space="preserve">th </w:t>
      </w:r>
      <w:r w:rsidR="00AF2EE3">
        <w:t>August</w:t>
      </w:r>
      <w:r w:rsidR="0052454F" w:rsidRPr="0052454F">
        <w:t xml:space="preserve"> 2019</w:t>
      </w:r>
    </w:p>
    <w:p w14:paraId="60A5317D" w14:textId="77777777" w:rsidR="00E90E49" w:rsidRPr="001F764B" w:rsidRDefault="00E90E49" w:rsidP="00357380">
      <w:pPr>
        <w:pStyle w:val="3GPPHeader"/>
      </w:pPr>
    </w:p>
    <w:p w14:paraId="3C6869D1" w14:textId="01696D44" w:rsidR="00E90E49" w:rsidRPr="001F764B" w:rsidRDefault="00E90E49" w:rsidP="00311702">
      <w:pPr>
        <w:pStyle w:val="3GPPHeader"/>
        <w:rPr>
          <w:sz w:val="22"/>
        </w:rPr>
      </w:pPr>
      <w:r w:rsidRPr="001F764B">
        <w:rPr>
          <w:sz w:val="22"/>
        </w:rPr>
        <w:t>Agenda Item:</w:t>
      </w:r>
      <w:r w:rsidRPr="001F764B">
        <w:rPr>
          <w:sz w:val="22"/>
        </w:rPr>
        <w:tab/>
      </w:r>
      <w:r w:rsidR="00B076E0" w:rsidRPr="001F764B">
        <w:rPr>
          <w:sz w:val="22"/>
        </w:rPr>
        <w:t>7</w:t>
      </w:r>
      <w:r w:rsidR="006500B6" w:rsidRPr="001F764B">
        <w:rPr>
          <w:sz w:val="22"/>
        </w:rPr>
        <w:t>.</w:t>
      </w:r>
      <w:r w:rsidR="00B076E0" w:rsidRPr="001F764B">
        <w:rPr>
          <w:sz w:val="22"/>
        </w:rPr>
        <w:t>2</w:t>
      </w:r>
      <w:r w:rsidR="006500B6" w:rsidRPr="001F764B">
        <w:rPr>
          <w:sz w:val="22"/>
        </w:rPr>
        <w:t>.</w:t>
      </w:r>
      <w:r w:rsidR="00B076E0" w:rsidRPr="001F764B">
        <w:rPr>
          <w:sz w:val="22"/>
        </w:rPr>
        <w:t>5.</w:t>
      </w:r>
      <w:r w:rsidR="009A4970">
        <w:rPr>
          <w:sz w:val="22"/>
        </w:rPr>
        <w:t>4</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34043A4A" w:rsidR="00E90E49" w:rsidRPr="001F764B" w:rsidRDefault="003D3C45" w:rsidP="00311702">
      <w:pPr>
        <w:pStyle w:val="3GPPHeader"/>
        <w:rPr>
          <w:sz w:val="22"/>
        </w:rPr>
      </w:pPr>
      <w:r w:rsidRPr="001F764B">
        <w:rPr>
          <w:sz w:val="22"/>
        </w:rPr>
        <w:t>Title:</w:t>
      </w:r>
      <w:r w:rsidR="00E90E49" w:rsidRPr="001F764B">
        <w:rPr>
          <w:sz w:val="22"/>
        </w:rPr>
        <w:tab/>
      </w:r>
      <w:r w:rsidR="00B076E0" w:rsidRPr="001F764B">
        <w:rPr>
          <w:sz w:val="22"/>
        </w:rPr>
        <w:t xml:space="preserve">On </w:t>
      </w:r>
      <w:r w:rsidR="009A4970">
        <w:rPr>
          <w:sz w:val="22"/>
        </w:rPr>
        <w:t>m</w:t>
      </w:r>
      <w:r w:rsidR="009A4970" w:rsidRPr="009A4970">
        <w:rPr>
          <w:sz w:val="22"/>
        </w:rPr>
        <w:t>ore delay-tolerant re-transmission mechanisms</w:t>
      </w:r>
      <w:r w:rsidR="003B2BE9">
        <w:rPr>
          <w:sz w:val="22"/>
        </w:rPr>
        <w:t xml:space="preserve"> for NTN</w:t>
      </w:r>
    </w:p>
    <w:p w14:paraId="76893D37" w14:textId="05347DBD" w:rsidR="00E90E49" w:rsidRPr="001F764B" w:rsidRDefault="00E90E49" w:rsidP="000E5128">
      <w:pPr>
        <w:pStyle w:val="3GPPHeader"/>
        <w:rPr>
          <w:sz w:val="22"/>
        </w:rPr>
      </w:pPr>
      <w:r w:rsidRPr="001F764B">
        <w:rPr>
          <w:sz w:val="22"/>
        </w:rPr>
        <w:t>Document for:</w:t>
      </w:r>
      <w:r w:rsidRPr="001F764B">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81DD497" w14:textId="190D1ED6" w:rsidR="00C70CB7" w:rsidRPr="001F764B" w:rsidRDefault="00A2268A" w:rsidP="000E5128">
      <w:pPr>
        <w:jc w:val="both"/>
        <w:rPr>
          <w:rFonts w:ascii="Arial" w:hAnsi="Arial"/>
          <w:sz w:val="20"/>
          <w:szCs w:val="20"/>
        </w:rPr>
      </w:pPr>
      <w:r w:rsidRPr="001F764B">
        <w:rPr>
          <w:rFonts w:ascii="Arial" w:hAnsi="Arial"/>
          <w:sz w:val="20"/>
          <w:szCs w:val="20"/>
        </w:rPr>
        <w:t>RAN#80 approved a new SI on solutions evaluation for NR to support Non-Terrestrial Network</w:t>
      </w:r>
      <w:r w:rsidR="00E85654" w:rsidRPr="001F764B">
        <w:rPr>
          <w:rFonts w:ascii="Arial" w:hAnsi="Arial"/>
          <w:sz w:val="20"/>
          <w:szCs w:val="20"/>
        </w:rPr>
        <w:t>. The latest version of the SID is given in</w:t>
      </w:r>
      <w:r w:rsidR="00B45E11" w:rsidRPr="001F764B">
        <w:rPr>
          <w:rFonts w:ascii="Arial" w:hAnsi="Arial"/>
          <w:sz w:val="20"/>
          <w:szCs w:val="20"/>
        </w:rPr>
        <w:t xml:space="preserve"> [1]</w:t>
      </w:r>
      <w:r w:rsidR="002B626A" w:rsidRPr="001F764B">
        <w:rPr>
          <w:rFonts w:ascii="Arial" w:hAnsi="Arial"/>
          <w:sz w:val="20"/>
          <w:szCs w:val="20"/>
        </w:rPr>
        <w:t>.</w:t>
      </w:r>
      <w:r w:rsidRPr="001F764B">
        <w:rPr>
          <w:rFonts w:ascii="Arial" w:hAnsi="Arial"/>
          <w:sz w:val="20"/>
          <w:szCs w:val="20"/>
        </w:rPr>
        <w:t xml:space="preserve"> </w:t>
      </w:r>
      <w:r w:rsidR="00C70CB7">
        <w:rPr>
          <w:rFonts w:ascii="Arial" w:hAnsi="Arial"/>
          <w:sz w:val="20"/>
          <w:szCs w:val="20"/>
        </w:rPr>
        <w:t>One RAN1 objective is to m</w:t>
      </w:r>
      <w:r w:rsidR="00C70CB7" w:rsidRPr="00C70CB7">
        <w:rPr>
          <w:rFonts w:ascii="Arial" w:hAnsi="Arial"/>
          <w:sz w:val="20"/>
          <w:szCs w:val="20"/>
        </w:rPr>
        <w:t>ak</w:t>
      </w:r>
      <w:r w:rsidR="00C70CB7">
        <w:rPr>
          <w:rFonts w:ascii="Arial" w:hAnsi="Arial"/>
          <w:sz w:val="20"/>
          <w:szCs w:val="20"/>
        </w:rPr>
        <w:t>e</w:t>
      </w:r>
      <w:r w:rsidR="00C70CB7" w:rsidRPr="00C70CB7">
        <w:rPr>
          <w:rFonts w:ascii="Arial" w:hAnsi="Arial"/>
          <w:sz w:val="20"/>
          <w:szCs w:val="20"/>
        </w:rPr>
        <w:t xml:space="preserve"> retransmission mechanisms at the physical layer more delay-tolerant as appropriate</w:t>
      </w:r>
      <w:r w:rsidR="008606C3">
        <w:rPr>
          <w:rFonts w:ascii="Arial" w:hAnsi="Arial"/>
          <w:sz w:val="20"/>
          <w:szCs w:val="20"/>
        </w:rPr>
        <w:t xml:space="preserve">. </w:t>
      </w:r>
      <w:r w:rsidR="00DC5213">
        <w:rPr>
          <w:rFonts w:ascii="Arial" w:hAnsi="Arial"/>
          <w:sz w:val="20"/>
          <w:szCs w:val="20"/>
        </w:rPr>
        <w:t xml:space="preserve">The following agreements were made at RAN1#97. </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08928712">
                <wp:extent cx="6120765" cy="2308860"/>
                <wp:effectExtent l="0" t="0" r="13335" b="15240"/>
                <wp:docPr id="2" name="Text Box 2"/>
                <wp:cNvGraphicFramePr/>
                <a:graphic xmlns:a="http://schemas.openxmlformats.org/drawingml/2006/main">
                  <a:graphicData uri="http://schemas.microsoft.com/office/word/2010/wordprocessingShape">
                    <wps:wsp>
                      <wps:cNvSpPr txBox="1"/>
                      <wps:spPr>
                        <a:xfrm>
                          <a:off x="0" y="0"/>
                          <a:ext cx="6120765" cy="2308860"/>
                        </a:xfrm>
                        <a:prstGeom prst="rect">
                          <a:avLst/>
                        </a:prstGeom>
                        <a:solidFill>
                          <a:schemeClr val="lt1"/>
                        </a:solidFill>
                        <a:ln w="6350">
                          <a:solidFill>
                            <a:prstClr val="black"/>
                          </a:solidFill>
                        </a:ln>
                      </wps:spPr>
                      <wps:txbx>
                        <w:txbxContent>
                          <w:p w14:paraId="27E28C65" w14:textId="63580E4F" w:rsidR="008606C3" w:rsidRDefault="008606C3" w:rsidP="00A2268A">
                            <w:pPr>
                              <w:rPr>
                                <w:rFonts w:ascii="Arial" w:hAnsi="Arial"/>
                                <w:i/>
                                <w:sz w:val="20"/>
                                <w:szCs w:val="20"/>
                                <w:lang w:eastAsia="x-none"/>
                              </w:rPr>
                            </w:pPr>
                            <w:r>
                              <w:rPr>
                                <w:rFonts w:ascii="Arial" w:hAnsi="Arial"/>
                                <w:b/>
                                <w:bCs/>
                                <w:i/>
                                <w:iCs/>
                                <w:sz w:val="20"/>
                                <w:szCs w:val="20"/>
                                <w:lang w:eastAsia="x-none"/>
                              </w:rPr>
                              <w:t>RAN1#</w:t>
                            </w:r>
                            <w:r w:rsidR="00DC5213">
                              <w:rPr>
                                <w:rFonts w:ascii="Arial" w:hAnsi="Arial"/>
                                <w:b/>
                                <w:bCs/>
                                <w:i/>
                                <w:iCs/>
                                <w:sz w:val="20"/>
                                <w:szCs w:val="20"/>
                                <w:lang w:eastAsia="x-none"/>
                              </w:rPr>
                              <w:t>97</w:t>
                            </w:r>
                          </w:p>
                          <w:p w14:paraId="18E421A5" w14:textId="77777777" w:rsidR="008606C3" w:rsidRPr="008606C3" w:rsidRDefault="008606C3" w:rsidP="008606C3">
                            <w:pPr>
                              <w:ind w:left="567"/>
                              <w:rPr>
                                <w:rFonts w:ascii="Arial" w:hAnsi="Arial" w:cs="Arial"/>
                                <w:sz w:val="20"/>
                                <w:szCs w:val="20"/>
                              </w:rPr>
                            </w:pPr>
                            <w:r w:rsidRPr="008606C3">
                              <w:rPr>
                                <w:rFonts w:ascii="Arial" w:hAnsi="Arial" w:cs="Arial"/>
                                <w:sz w:val="20"/>
                                <w:szCs w:val="20"/>
                                <w:highlight w:val="green"/>
                              </w:rPr>
                              <w:t>Agreement:</w:t>
                            </w:r>
                          </w:p>
                          <w:p w14:paraId="02EB6866" w14:textId="77777777" w:rsidR="008606C3" w:rsidRPr="008606C3" w:rsidRDefault="008606C3" w:rsidP="008606C3">
                            <w:pPr>
                              <w:ind w:left="567"/>
                              <w:rPr>
                                <w:rFonts w:ascii="Arial" w:hAnsi="Arial" w:cs="Arial"/>
                                <w:sz w:val="20"/>
                                <w:szCs w:val="20"/>
                              </w:rPr>
                            </w:pPr>
                            <w:r w:rsidRPr="008606C3">
                              <w:rPr>
                                <w:rFonts w:ascii="Arial" w:hAnsi="Arial" w:cs="Arial"/>
                                <w:sz w:val="20"/>
                                <w:szCs w:val="20"/>
                              </w:rPr>
                              <w:t xml:space="preserve">Network disabling of HARQ via RRC configuration should be supported. </w:t>
                            </w:r>
                          </w:p>
                          <w:p w14:paraId="49A3EED7" w14:textId="35EB7425" w:rsidR="008606C3" w:rsidRDefault="008606C3" w:rsidP="008606C3">
                            <w:pPr>
                              <w:numPr>
                                <w:ilvl w:val="0"/>
                                <w:numId w:val="25"/>
                              </w:numPr>
                              <w:spacing w:after="0" w:line="240" w:lineRule="auto"/>
                              <w:ind w:left="1287"/>
                              <w:rPr>
                                <w:rFonts w:ascii="Arial" w:hAnsi="Arial" w:cs="Arial"/>
                                <w:sz w:val="20"/>
                                <w:szCs w:val="20"/>
                              </w:rPr>
                            </w:pPr>
                            <w:r w:rsidRPr="008606C3">
                              <w:rPr>
                                <w:rFonts w:ascii="Arial" w:hAnsi="Arial" w:cs="Arial"/>
                                <w:sz w:val="20"/>
                                <w:szCs w:val="20"/>
                              </w:rPr>
                              <w:t>FFS: Dynamic disabling of HARQ by gNB.</w:t>
                            </w:r>
                          </w:p>
                          <w:p w14:paraId="24D374D4" w14:textId="77777777" w:rsidR="008606C3" w:rsidRPr="008606C3" w:rsidRDefault="008606C3" w:rsidP="008606C3">
                            <w:pPr>
                              <w:spacing w:after="0" w:line="240" w:lineRule="auto"/>
                              <w:ind w:left="1287"/>
                              <w:rPr>
                                <w:rFonts w:ascii="Arial" w:hAnsi="Arial" w:cs="Arial"/>
                                <w:sz w:val="20"/>
                                <w:szCs w:val="20"/>
                              </w:rPr>
                            </w:pPr>
                          </w:p>
                          <w:p w14:paraId="310E8938" w14:textId="77777777" w:rsidR="008606C3" w:rsidRPr="008606C3" w:rsidRDefault="008606C3" w:rsidP="008606C3">
                            <w:pPr>
                              <w:ind w:left="567"/>
                              <w:rPr>
                                <w:rFonts w:ascii="Arial" w:hAnsi="Arial" w:cs="Arial"/>
                                <w:sz w:val="20"/>
                                <w:szCs w:val="20"/>
                              </w:rPr>
                            </w:pPr>
                            <w:r w:rsidRPr="008606C3">
                              <w:rPr>
                                <w:rFonts w:ascii="Arial" w:hAnsi="Arial" w:cs="Arial"/>
                                <w:sz w:val="20"/>
                                <w:szCs w:val="20"/>
                                <w:highlight w:val="green"/>
                              </w:rPr>
                              <w:t>Agreement:</w:t>
                            </w:r>
                          </w:p>
                          <w:p w14:paraId="15B2FE64" w14:textId="2DE65669" w:rsidR="008606C3" w:rsidRPr="008606C3" w:rsidRDefault="008606C3" w:rsidP="008606C3">
                            <w:pPr>
                              <w:ind w:left="567"/>
                              <w:rPr>
                                <w:rFonts w:ascii="Arial" w:hAnsi="Arial" w:cs="Arial"/>
                                <w:sz w:val="20"/>
                                <w:szCs w:val="20"/>
                              </w:rPr>
                            </w:pPr>
                            <w:r w:rsidRPr="008606C3">
                              <w:rPr>
                                <w:rFonts w:ascii="Arial" w:hAnsi="Arial" w:cs="Arial"/>
                                <w:sz w:val="20"/>
                                <w:szCs w:val="20"/>
                              </w:rPr>
                              <w:t>Evaluate impact of Satellite RTT when HARQ is enabled and potential solutions if needed</w:t>
                            </w:r>
                            <w:r w:rsidR="00701058">
                              <w:rPr>
                                <w:rFonts w:ascii="Arial" w:hAnsi="Arial" w:cs="Arial"/>
                                <w:sz w:val="20"/>
                                <w:szCs w:val="20"/>
                              </w:rPr>
                              <w:t>.</w:t>
                            </w:r>
                          </w:p>
                          <w:p w14:paraId="0ED5FC07" w14:textId="77777777" w:rsidR="008606C3" w:rsidRPr="008606C3" w:rsidRDefault="008606C3" w:rsidP="008606C3">
                            <w:pPr>
                              <w:numPr>
                                <w:ilvl w:val="0"/>
                                <w:numId w:val="25"/>
                              </w:numPr>
                              <w:spacing w:after="0" w:line="240" w:lineRule="auto"/>
                              <w:ind w:left="1287"/>
                              <w:rPr>
                                <w:rFonts w:ascii="Arial" w:hAnsi="Arial" w:cs="Arial"/>
                                <w:sz w:val="20"/>
                                <w:szCs w:val="20"/>
                              </w:rPr>
                            </w:pPr>
                            <w:r w:rsidRPr="008606C3">
                              <w:rPr>
                                <w:rFonts w:ascii="Arial" w:hAnsi="Arial" w:cs="Arial"/>
                                <w:sz w:val="20"/>
                                <w:szCs w:val="20"/>
                              </w:rPr>
                              <w:t>At least the following aspects should be considered if the number of HARQ processes is &gt; 16:</w:t>
                            </w:r>
                          </w:p>
                          <w:p w14:paraId="423246C6" w14:textId="77777777" w:rsidR="008606C3" w:rsidRPr="008606C3" w:rsidRDefault="008606C3" w:rsidP="008606C3">
                            <w:pPr>
                              <w:numPr>
                                <w:ilvl w:val="1"/>
                                <w:numId w:val="25"/>
                              </w:numPr>
                              <w:spacing w:after="0" w:line="240" w:lineRule="auto"/>
                              <w:ind w:left="2007"/>
                              <w:rPr>
                                <w:rFonts w:ascii="Arial" w:hAnsi="Arial" w:cs="Arial"/>
                                <w:sz w:val="20"/>
                                <w:szCs w:val="20"/>
                              </w:rPr>
                            </w:pPr>
                            <w:r w:rsidRPr="008606C3">
                              <w:rPr>
                                <w:rFonts w:ascii="Arial" w:hAnsi="Arial" w:cs="Arial"/>
                                <w:sz w:val="20"/>
                                <w:szCs w:val="20"/>
                              </w:rPr>
                              <w:t>DCI size</w:t>
                            </w:r>
                          </w:p>
                          <w:p w14:paraId="1DD1F68B" w14:textId="77777777" w:rsidR="008606C3" w:rsidRPr="008606C3" w:rsidRDefault="008606C3" w:rsidP="008606C3">
                            <w:pPr>
                              <w:numPr>
                                <w:ilvl w:val="1"/>
                                <w:numId w:val="25"/>
                              </w:numPr>
                              <w:spacing w:after="0" w:line="240" w:lineRule="auto"/>
                              <w:ind w:left="2007"/>
                              <w:rPr>
                                <w:rFonts w:ascii="Arial" w:hAnsi="Arial" w:cs="Arial"/>
                                <w:sz w:val="20"/>
                                <w:szCs w:val="20"/>
                              </w:rPr>
                            </w:pPr>
                            <w:r w:rsidRPr="008606C3">
                              <w:rPr>
                                <w:rFonts w:ascii="Arial" w:hAnsi="Arial" w:cs="Arial"/>
                                <w:sz w:val="20"/>
                                <w:szCs w:val="20"/>
                              </w:rPr>
                              <w:t>HARQ soft buffer size</w:t>
                            </w:r>
                          </w:p>
                          <w:p w14:paraId="1D9FDCBE" w14:textId="77777777" w:rsidR="008606C3" w:rsidRPr="001F764B" w:rsidRDefault="008606C3" w:rsidP="00A2268A">
                            <w:pPr>
                              <w:rPr>
                                <w:rFonts w:ascii="Arial" w:hAnsi="Arial"/>
                                <w:i/>
                                <w:sz w:val="20"/>
                                <w:szCs w:val="20"/>
                                <w:lang w:eastAsia="x-none"/>
                              </w:rPr>
                            </w:pPr>
                          </w:p>
                          <w:p w14:paraId="5FA9AA7D" w14:textId="77777777" w:rsidR="00A2268A" w:rsidRPr="001F764B"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" fillcolor="white [3201]" strokeweight=".5pt">
                <v:textbox>
                  <w:txbxContent>
                    <w:p w14:paraId="27E28C65" w14:textId="63580E4F" w:rsidR="008606C3" w:rsidRDefault="008606C3" w:rsidP="00A2268A">
                      <w:pPr>
                        <w:rPr>
                          <w:rFonts w:ascii="Arial" w:hAnsi="Arial"/>
                          <w:i/>
                          <w:sz w:val="20"/>
                          <w:szCs w:val="20"/>
                          <w:lang w:eastAsia="x-none"/>
                        </w:rPr>
                      </w:pPr>
                      <w:r>
                        <w:rPr>
                          <w:rFonts w:ascii="Arial" w:hAnsi="Arial"/>
                          <w:b/>
                          <w:bCs/>
                          <w:i/>
                          <w:iCs/>
                          <w:sz w:val="20"/>
                          <w:szCs w:val="20"/>
                          <w:lang w:eastAsia="x-none"/>
                        </w:rPr>
                        <w:t>RAN1#</w:t>
                      </w:r>
                      <w:r w:rsidR="00DC5213">
                        <w:rPr>
                          <w:rFonts w:ascii="Arial" w:hAnsi="Arial"/>
                          <w:b/>
                          <w:bCs/>
                          <w:i/>
                          <w:iCs/>
                          <w:sz w:val="20"/>
                          <w:szCs w:val="20"/>
                          <w:lang w:eastAsia="x-none"/>
                        </w:rPr>
                        <w:t>97</w:t>
                      </w:r>
                    </w:p>
                    <w:p w14:paraId="18E421A5" w14:textId="77777777" w:rsidR="008606C3" w:rsidRPr="008606C3" w:rsidRDefault="008606C3" w:rsidP="008606C3">
                      <w:pPr>
                        <w:ind w:left="567"/>
                        <w:rPr>
                          <w:rFonts w:ascii="Arial" w:hAnsi="Arial" w:cs="Arial"/>
                          <w:sz w:val="20"/>
                          <w:szCs w:val="20"/>
                        </w:rPr>
                      </w:pPr>
                      <w:r w:rsidRPr="008606C3">
                        <w:rPr>
                          <w:rFonts w:ascii="Arial" w:hAnsi="Arial" w:cs="Arial"/>
                          <w:sz w:val="20"/>
                          <w:szCs w:val="20"/>
                          <w:highlight w:val="green"/>
                        </w:rPr>
                        <w:t>Agreement:</w:t>
                      </w:r>
                    </w:p>
                    <w:p w14:paraId="02EB6866" w14:textId="77777777" w:rsidR="008606C3" w:rsidRPr="008606C3" w:rsidRDefault="008606C3" w:rsidP="008606C3">
                      <w:pPr>
                        <w:ind w:left="567"/>
                        <w:rPr>
                          <w:rFonts w:ascii="Arial" w:hAnsi="Arial" w:cs="Arial"/>
                          <w:sz w:val="20"/>
                          <w:szCs w:val="20"/>
                        </w:rPr>
                      </w:pPr>
                      <w:r w:rsidRPr="008606C3">
                        <w:rPr>
                          <w:rFonts w:ascii="Arial" w:hAnsi="Arial" w:cs="Arial"/>
                          <w:sz w:val="20"/>
                          <w:szCs w:val="20"/>
                        </w:rPr>
                        <w:t xml:space="preserve">Network disabling of HARQ via RRC configuration should be supported. </w:t>
                      </w:r>
                    </w:p>
                    <w:p w14:paraId="49A3EED7" w14:textId="35EB7425" w:rsidR="008606C3" w:rsidRDefault="008606C3" w:rsidP="008606C3">
                      <w:pPr>
                        <w:numPr>
                          <w:ilvl w:val="0"/>
                          <w:numId w:val="25"/>
                        </w:numPr>
                        <w:spacing w:after="0" w:line="240" w:lineRule="auto"/>
                        <w:ind w:left="1287"/>
                        <w:rPr>
                          <w:rFonts w:ascii="Arial" w:hAnsi="Arial" w:cs="Arial"/>
                          <w:sz w:val="20"/>
                          <w:szCs w:val="20"/>
                        </w:rPr>
                      </w:pPr>
                      <w:r w:rsidRPr="008606C3">
                        <w:rPr>
                          <w:rFonts w:ascii="Arial" w:hAnsi="Arial" w:cs="Arial"/>
                          <w:sz w:val="20"/>
                          <w:szCs w:val="20"/>
                        </w:rPr>
                        <w:t>FFS: Dynamic disabling of HARQ by gNB.</w:t>
                      </w:r>
                    </w:p>
                    <w:p w14:paraId="24D374D4" w14:textId="77777777" w:rsidR="008606C3" w:rsidRPr="008606C3" w:rsidRDefault="008606C3" w:rsidP="008606C3">
                      <w:pPr>
                        <w:spacing w:after="0" w:line="240" w:lineRule="auto"/>
                        <w:ind w:left="1287"/>
                        <w:rPr>
                          <w:rFonts w:ascii="Arial" w:hAnsi="Arial" w:cs="Arial"/>
                          <w:sz w:val="20"/>
                          <w:szCs w:val="20"/>
                        </w:rPr>
                      </w:pPr>
                    </w:p>
                    <w:p w14:paraId="310E8938" w14:textId="77777777" w:rsidR="008606C3" w:rsidRPr="008606C3" w:rsidRDefault="008606C3" w:rsidP="008606C3">
                      <w:pPr>
                        <w:ind w:left="567"/>
                        <w:rPr>
                          <w:rFonts w:ascii="Arial" w:hAnsi="Arial" w:cs="Arial"/>
                          <w:sz w:val="20"/>
                          <w:szCs w:val="20"/>
                        </w:rPr>
                      </w:pPr>
                      <w:r w:rsidRPr="008606C3">
                        <w:rPr>
                          <w:rFonts w:ascii="Arial" w:hAnsi="Arial" w:cs="Arial"/>
                          <w:sz w:val="20"/>
                          <w:szCs w:val="20"/>
                          <w:highlight w:val="green"/>
                        </w:rPr>
                        <w:t>Agreement:</w:t>
                      </w:r>
                    </w:p>
                    <w:p w14:paraId="15B2FE64" w14:textId="2DE65669" w:rsidR="008606C3" w:rsidRPr="008606C3" w:rsidRDefault="008606C3" w:rsidP="008606C3">
                      <w:pPr>
                        <w:ind w:left="567"/>
                        <w:rPr>
                          <w:rFonts w:ascii="Arial" w:hAnsi="Arial" w:cs="Arial"/>
                          <w:sz w:val="20"/>
                          <w:szCs w:val="20"/>
                        </w:rPr>
                      </w:pPr>
                      <w:r w:rsidRPr="008606C3">
                        <w:rPr>
                          <w:rFonts w:ascii="Arial" w:hAnsi="Arial" w:cs="Arial"/>
                          <w:sz w:val="20"/>
                          <w:szCs w:val="20"/>
                        </w:rPr>
                        <w:t>Evaluate impact of Satellite RTT when HARQ is enabled and potential solutions if needed</w:t>
                      </w:r>
                      <w:r w:rsidR="00701058">
                        <w:rPr>
                          <w:rFonts w:ascii="Arial" w:hAnsi="Arial" w:cs="Arial"/>
                          <w:sz w:val="20"/>
                          <w:szCs w:val="20"/>
                        </w:rPr>
                        <w:t>.</w:t>
                      </w:r>
                    </w:p>
                    <w:p w14:paraId="0ED5FC07" w14:textId="77777777" w:rsidR="008606C3" w:rsidRPr="008606C3" w:rsidRDefault="008606C3" w:rsidP="008606C3">
                      <w:pPr>
                        <w:numPr>
                          <w:ilvl w:val="0"/>
                          <w:numId w:val="25"/>
                        </w:numPr>
                        <w:spacing w:after="0" w:line="240" w:lineRule="auto"/>
                        <w:ind w:left="1287"/>
                        <w:rPr>
                          <w:rFonts w:ascii="Arial" w:hAnsi="Arial" w:cs="Arial"/>
                          <w:sz w:val="20"/>
                          <w:szCs w:val="20"/>
                        </w:rPr>
                      </w:pPr>
                      <w:r w:rsidRPr="008606C3">
                        <w:rPr>
                          <w:rFonts w:ascii="Arial" w:hAnsi="Arial" w:cs="Arial"/>
                          <w:sz w:val="20"/>
                          <w:szCs w:val="20"/>
                        </w:rPr>
                        <w:t>At least the following aspects should be considered if the number of HARQ processes is &gt; 16:</w:t>
                      </w:r>
                    </w:p>
                    <w:p w14:paraId="423246C6" w14:textId="77777777" w:rsidR="008606C3" w:rsidRPr="008606C3" w:rsidRDefault="008606C3" w:rsidP="008606C3">
                      <w:pPr>
                        <w:numPr>
                          <w:ilvl w:val="1"/>
                          <w:numId w:val="25"/>
                        </w:numPr>
                        <w:spacing w:after="0" w:line="240" w:lineRule="auto"/>
                        <w:ind w:left="2007"/>
                        <w:rPr>
                          <w:rFonts w:ascii="Arial" w:hAnsi="Arial" w:cs="Arial"/>
                          <w:sz w:val="20"/>
                          <w:szCs w:val="20"/>
                        </w:rPr>
                      </w:pPr>
                      <w:r w:rsidRPr="008606C3">
                        <w:rPr>
                          <w:rFonts w:ascii="Arial" w:hAnsi="Arial" w:cs="Arial"/>
                          <w:sz w:val="20"/>
                          <w:szCs w:val="20"/>
                        </w:rPr>
                        <w:t>DCI size</w:t>
                      </w:r>
                    </w:p>
                    <w:p w14:paraId="1DD1F68B" w14:textId="77777777" w:rsidR="008606C3" w:rsidRPr="008606C3" w:rsidRDefault="008606C3" w:rsidP="008606C3">
                      <w:pPr>
                        <w:numPr>
                          <w:ilvl w:val="1"/>
                          <w:numId w:val="25"/>
                        </w:numPr>
                        <w:spacing w:after="0" w:line="240" w:lineRule="auto"/>
                        <w:ind w:left="2007"/>
                        <w:rPr>
                          <w:rFonts w:ascii="Arial" w:hAnsi="Arial" w:cs="Arial"/>
                          <w:sz w:val="20"/>
                          <w:szCs w:val="20"/>
                        </w:rPr>
                      </w:pPr>
                      <w:r w:rsidRPr="008606C3">
                        <w:rPr>
                          <w:rFonts w:ascii="Arial" w:hAnsi="Arial" w:cs="Arial"/>
                          <w:sz w:val="20"/>
                          <w:szCs w:val="20"/>
                        </w:rPr>
                        <w:t>HARQ soft buffer size</w:t>
                      </w:r>
                    </w:p>
                    <w:p w14:paraId="1D9FDCBE" w14:textId="77777777" w:rsidR="008606C3" w:rsidRPr="001F764B" w:rsidRDefault="008606C3" w:rsidP="00A2268A">
                      <w:pPr>
                        <w:rPr>
                          <w:rFonts w:ascii="Arial" w:hAnsi="Arial"/>
                          <w:i/>
                          <w:sz w:val="20"/>
                          <w:szCs w:val="20"/>
                          <w:lang w:eastAsia="x-none"/>
                        </w:rPr>
                      </w:pPr>
                    </w:p>
                    <w:p w14:paraId="5FA9AA7D" w14:textId="77777777" w:rsidR="00A2268A" w:rsidRPr="001F764B" w:rsidRDefault="00A2268A" w:rsidP="00A2268A">
                      <w:pPr>
                        <w:rPr>
                          <w:sz w:val="20"/>
                          <w:szCs w:val="20"/>
                        </w:rPr>
                      </w:pPr>
                    </w:p>
                  </w:txbxContent>
                </v:textbox>
                <w10:anchorlock/>
              </v:shape>
            </w:pict>
          </mc:Fallback>
        </mc:AlternateContent>
      </w:r>
    </w:p>
    <w:p w14:paraId="644AC52F" w14:textId="5BE24F8F" w:rsidR="00A2268A" w:rsidRPr="00833B02" w:rsidRDefault="00A2268A" w:rsidP="000E5128">
      <w:pPr>
        <w:jc w:val="both"/>
        <w:rPr>
          <w:rFonts w:ascii="Arial" w:hAnsi="Arial"/>
          <w:sz w:val="20"/>
          <w:szCs w:val="20"/>
        </w:rPr>
      </w:pPr>
      <w:r w:rsidRPr="001F764B">
        <w:rPr>
          <w:rFonts w:ascii="Arial" w:hAnsi="Arial"/>
          <w:sz w:val="20"/>
          <w:szCs w:val="20"/>
        </w:rPr>
        <w:t xml:space="preserve">In this contribution, we </w:t>
      </w:r>
      <w:r w:rsidR="000143F0">
        <w:rPr>
          <w:rFonts w:ascii="Arial" w:hAnsi="Arial"/>
          <w:sz w:val="20"/>
          <w:szCs w:val="20"/>
        </w:rPr>
        <w:t xml:space="preserve">continue discussing the </w:t>
      </w:r>
      <w:r w:rsidR="003B2BE9">
        <w:rPr>
          <w:rFonts w:ascii="Arial" w:hAnsi="Arial"/>
          <w:sz w:val="20"/>
          <w:szCs w:val="20"/>
        </w:rPr>
        <w:t xml:space="preserve">issues on </w:t>
      </w:r>
      <w:r w:rsidR="003B2BE9" w:rsidRPr="003B2BE9">
        <w:rPr>
          <w:rFonts w:ascii="Arial" w:hAnsi="Arial"/>
          <w:sz w:val="20"/>
          <w:szCs w:val="20"/>
        </w:rPr>
        <w:t>more delay-tolerant re-transmission mechanisms for NTN</w:t>
      </w:r>
      <w:r w:rsidR="001B15CB">
        <w:rPr>
          <w:rFonts w:ascii="Arial" w:hAnsi="Arial"/>
          <w:sz w:val="20"/>
          <w:szCs w:val="20"/>
        </w:rPr>
        <w:t>.</w:t>
      </w:r>
      <w:r w:rsidR="00B076E0" w:rsidRPr="00833B02">
        <w:rPr>
          <w:rFonts w:ascii="Arial" w:hAnsi="Arial"/>
          <w:sz w:val="20"/>
          <w:szCs w:val="20"/>
        </w:rPr>
        <w:t xml:space="preserve"> </w:t>
      </w:r>
      <w:r w:rsidR="004D6252">
        <w:rPr>
          <w:rFonts w:ascii="Arial" w:hAnsi="Arial"/>
          <w:sz w:val="20"/>
          <w:szCs w:val="20"/>
        </w:rPr>
        <w:t xml:space="preserve">Our views on scheduling timing relationship including HARQ-ACK timing are discussed in </w:t>
      </w:r>
      <w:r w:rsidR="004D6252">
        <w:rPr>
          <w:rFonts w:ascii="Arial" w:hAnsi="Arial"/>
          <w:sz w:val="20"/>
          <w:szCs w:val="20"/>
        </w:rPr>
        <w:fldChar w:fldCharType="begin"/>
      </w:r>
      <w:r w:rsidR="004D6252">
        <w:rPr>
          <w:rFonts w:ascii="Arial" w:hAnsi="Arial"/>
          <w:sz w:val="20"/>
          <w:szCs w:val="20"/>
        </w:rPr>
        <w:instrText xml:space="preserve"> REF _Ref16587269 \r \h </w:instrText>
      </w:r>
      <w:r w:rsidR="004D6252">
        <w:rPr>
          <w:rFonts w:ascii="Arial" w:hAnsi="Arial"/>
          <w:sz w:val="20"/>
          <w:szCs w:val="20"/>
        </w:rPr>
      </w:r>
      <w:r w:rsidR="004D6252">
        <w:rPr>
          <w:rFonts w:ascii="Arial" w:hAnsi="Arial"/>
          <w:sz w:val="20"/>
          <w:szCs w:val="20"/>
        </w:rPr>
        <w:fldChar w:fldCharType="separate"/>
      </w:r>
      <w:bookmarkStart w:id="0" w:name="_GoBack"/>
      <w:r w:rsidR="009E369A">
        <w:rPr>
          <w:rFonts w:ascii="Arial" w:hAnsi="Arial"/>
          <w:sz w:val="20"/>
          <w:szCs w:val="20"/>
        </w:rPr>
        <w:t>[2]</w:t>
      </w:r>
      <w:bookmarkEnd w:id="0"/>
      <w:r w:rsidR="004D6252">
        <w:rPr>
          <w:rFonts w:ascii="Arial" w:hAnsi="Arial"/>
          <w:sz w:val="20"/>
          <w:szCs w:val="20"/>
        </w:rPr>
        <w:fldChar w:fldCharType="end"/>
      </w:r>
      <w:r w:rsidR="004D6252">
        <w:rPr>
          <w:rFonts w:ascii="Arial" w:hAnsi="Arial"/>
          <w:sz w:val="20"/>
          <w:szCs w:val="20"/>
        </w:rPr>
        <w:t xml:space="preserve">. </w:t>
      </w:r>
    </w:p>
    <w:p w14:paraId="463E4BBA" w14:textId="2F5FE95E" w:rsidR="00A1311D" w:rsidRDefault="000C7A3B" w:rsidP="00A1311D">
      <w:pPr>
        <w:pStyle w:val="Heading1"/>
        <w:numPr>
          <w:ilvl w:val="0"/>
          <w:numId w:val="15"/>
        </w:numPr>
      </w:pPr>
      <w:r>
        <w:t>Discussion</w:t>
      </w:r>
    </w:p>
    <w:p w14:paraId="59A0B9A6" w14:textId="27D19ED0" w:rsidR="00AF2EE3" w:rsidRDefault="00240BB4" w:rsidP="00F7378F">
      <w:pPr>
        <w:pStyle w:val="Heading2"/>
      </w:pPr>
      <w:r>
        <w:t>2.1</w:t>
      </w:r>
      <w:r>
        <w:tab/>
      </w:r>
      <w:r w:rsidR="00C91B4C">
        <w:t>Dynamic disabling of HARQ</w:t>
      </w:r>
    </w:p>
    <w:p w14:paraId="10ABFF1D" w14:textId="77777777" w:rsidR="007D2E47" w:rsidRDefault="00D5484D" w:rsidP="001A5A7B">
      <w:pPr>
        <w:jc w:val="both"/>
        <w:rPr>
          <w:rFonts w:ascii="Arial" w:hAnsi="Arial"/>
          <w:sz w:val="20"/>
          <w:szCs w:val="20"/>
        </w:rPr>
      </w:pPr>
      <w:r w:rsidRPr="008606C3">
        <w:rPr>
          <w:rFonts w:ascii="Arial" w:hAnsi="Arial" w:cs="Arial"/>
          <w:sz w:val="20"/>
          <w:szCs w:val="20"/>
        </w:rPr>
        <w:t>Dynamic disabling of HARQ by gNB</w:t>
      </w:r>
      <w:r>
        <w:rPr>
          <w:rFonts w:ascii="Arial" w:hAnsi="Arial"/>
          <w:sz w:val="20"/>
          <w:szCs w:val="20"/>
        </w:rPr>
        <w:t xml:space="preserve"> is for further study. </w:t>
      </w:r>
      <w:r w:rsidR="005408E1">
        <w:rPr>
          <w:rFonts w:ascii="Arial" w:hAnsi="Arial"/>
          <w:sz w:val="20"/>
          <w:szCs w:val="20"/>
        </w:rPr>
        <w:t xml:space="preserve">Note that </w:t>
      </w:r>
      <w:r w:rsidR="00EA4191">
        <w:rPr>
          <w:rFonts w:ascii="Arial" w:hAnsi="Arial"/>
          <w:sz w:val="20"/>
          <w:szCs w:val="20"/>
        </w:rPr>
        <w:t>the same issue is being discussed in RAN2</w:t>
      </w:r>
      <w:r w:rsidR="002A0F43">
        <w:rPr>
          <w:rFonts w:ascii="Arial" w:hAnsi="Arial"/>
          <w:sz w:val="20"/>
          <w:szCs w:val="20"/>
        </w:rPr>
        <w:t xml:space="preserve">. </w:t>
      </w:r>
      <w:r w:rsidR="007D2E47">
        <w:rPr>
          <w:rFonts w:ascii="Arial" w:hAnsi="Arial"/>
          <w:sz w:val="20"/>
          <w:szCs w:val="20"/>
        </w:rPr>
        <w:t xml:space="preserve">The aspects discussed in RAN2 include </w:t>
      </w:r>
    </w:p>
    <w:p w14:paraId="6387082E" w14:textId="3F2BFC61" w:rsidR="007D2E47" w:rsidRDefault="007D2E47" w:rsidP="007D2E47">
      <w:pPr>
        <w:pStyle w:val="ListParagraph"/>
        <w:numPr>
          <w:ilvl w:val="0"/>
          <w:numId w:val="26"/>
        </w:numPr>
        <w:jc w:val="both"/>
        <w:rPr>
          <w:rFonts w:ascii="Arial" w:hAnsi="Arial"/>
          <w:sz w:val="20"/>
          <w:szCs w:val="20"/>
        </w:rPr>
      </w:pPr>
      <w:r w:rsidRPr="007D2E47">
        <w:rPr>
          <w:rFonts w:ascii="Arial" w:hAnsi="Arial"/>
          <w:sz w:val="20"/>
          <w:szCs w:val="20"/>
        </w:rPr>
        <w:t>the criteria might be considered by the network for enabling / disabling of HARQ feedback</w:t>
      </w:r>
    </w:p>
    <w:p w14:paraId="157DE138" w14:textId="183763D8" w:rsidR="007D2E47" w:rsidRPr="00161C21" w:rsidRDefault="00E55F66" w:rsidP="007D2E47">
      <w:pPr>
        <w:pStyle w:val="ListParagraph"/>
        <w:numPr>
          <w:ilvl w:val="0"/>
          <w:numId w:val="26"/>
        </w:numPr>
        <w:jc w:val="both"/>
        <w:rPr>
          <w:rFonts w:ascii="Arial" w:hAnsi="Arial"/>
          <w:sz w:val="20"/>
          <w:szCs w:val="20"/>
        </w:rPr>
      </w:pPr>
      <w:r w:rsidRPr="00E55F66">
        <w:rPr>
          <w:rFonts w:ascii="Arial" w:hAnsi="Arial"/>
          <w:sz w:val="20"/>
          <w:szCs w:val="20"/>
        </w:rPr>
        <w:t>signaling of enabling / disabling uplink HARQ feedback</w:t>
      </w:r>
      <w:r w:rsidR="0097405B">
        <w:rPr>
          <w:rFonts w:ascii="Arial" w:hAnsi="Arial"/>
          <w:sz w:val="20"/>
          <w:szCs w:val="20"/>
          <w:lang w:val="en-US"/>
        </w:rPr>
        <w:t xml:space="preserve"> including both semi-static RRC</w:t>
      </w:r>
      <w:r w:rsidR="004E2822">
        <w:rPr>
          <w:rFonts w:ascii="Arial" w:hAnsi="Arial"/>
          <w:sz w:val="20"/>
          <w:szCs w:val="20"/>
          <w:lang w:val="en-US"/>
        </w:rPr>
        <w:t xml:space="preserve"> configuration</w:t>
      </w:r>
      <w:r w:rsidR="0097405B">
        <w:rPr>
          <w:rFonts w:ascii="Arial" w:hAnsi="Arial"/>
          <w:sz w:val="20"/>
          <w:szCs w:val="20"/>
          <w:lang w:val="en-US"/>
        </w:rPr>
        <w:t xml:space="preserve"> and dynamic</w:t>
      </w:r>
      <w:r w:rsidR="007E66CE">
        <w:rPr>
          <w:rFonts w:ascii="Arial" w:hAnsi="Arial"/>
          <w:sz w:val="20"/>
          <w:szCs w:val="20"/>
          <w:lang w:val="en-US"/>
        </w:rPr>
        <w:t xml:space="preserve"> indication</w:t>
      </w:r>
      <w:r w:rsidR="0097405B">
        <w:rPr>
          <w:rFonts w:ascii="Arial" w:hAnsi="Arial"/>
          <w:sz w:val="20"/>
          <w:szCs w:val="20"/>
          <w:lang w:val="en-US"/>
        </w:rPr>
        <w:t xml:space="preserve"> </w:t>
      </w:r>
    </w:p>
    <w:p w14:paraId="1FFE1490" w14:textId="0CC4F8F9" w:rsidR="00161C21" w:rsidRPr="00305D31" w:rsidRDefault="00A31715" w:rsidP="007D2E47">
      <w:pPr>
        <w:pStyle w:val="ListParagraph"/>
        <w:numPr>
          <w:ilvl w:val="0"/>
          <w:numId w:val="26"/>
        </w:numPr>
        <w:jc w:val="both"/>
        <w:rPr>
          <w:rFonts w:ascii="Arial" w:hAnsi="Arial"/>
          <w:sz w:val="20"/>
          <w:szCs w:val="20"/>
        </w:rPr>
      </w:pPr>
      <w:r>
        <w:rPr>
          <w:rFonts w:ascii="Arial" w:hAnsi="Arial"/>
          <w:sz w:val="20"/>
          <w:szCs w:val="20"/>
          <w:lang w:val="en-US"/>
        </w:rPr>
        <w:t>the configuration</w:t>
      </w:r>
      <w:r w:rsidR="00CA38E0">
        <w:rPr>
          <w:rFonts w:ascii="Arial" w:hAnsi="Arial"/>
          <w:sz w:val="20"/>
          <w:szCs w:val="20"/>
          <w:lang w:val="en-US"/>
        </w:rPr>
        <w:t xml:space="preserve"> basis, i.e., </w:t>
      </w:r>
      <w:r w:rsidR="006D1854" w:rsidRPr="006D1854">
        <w:rPr>
          <w:rFonts w:ascii="Arial" w:hAnsi="Arial"/>
          <w:sz w:val="20"/>
          <w:szCs w:val="20"/>
          <w:lang w:val="en-US"/>
        </w:rPr>
        <w:t>per cell</w:t>
      </w:r>
      <w:r w:rsidR="006D1854">
        <w:rPr>
          <w:rFonts w:ascii="Arial" w:hAnsi="Arial"/>
          <w:sz w:val="20"/>
          <w:szCs w:val="20"/>
          <w:lang w:val="en-US"/>
        </w:rPr>
        <w:t xml:space="preserve">, </w:t>
      </w:r>
      <w:r w:rsidR="006D1854" w:rsidRPr="006D1854">
        <w:rPr>
          <w:rFonts w:ascii="Arial" w:hAnsi="Arial"/>
          <w:sz w:val="20"/>
          <w:szCs w:val="20"/>
          <w:lang w:val="en-US"/>
        </w:rPr>
        <w:t>per UE</w:t>
      </w:r>
      <w:r w:rsidR="006D1854">
        <w:rPr>
          <w:rFonts w:ascii="Arial" w:hAnsi="Arial"/>
          <w:sz w:val="20"/>
          <w:szCs w:val="20"/>
          <w:lang w:val="en-US"/>
        </w:rPr>
        <w:t xml:space="preserve">, </w:t>
      </w:r>
      <w:r w:rsidR="006D1854" w:rsidRPr="006D1854">
        <w:rPr>
          <w:rFonts w:ascii="Arial" w:hAnsi="Arial"/>
          <w:sz w:val="20"/>
          <w:szCs w:val="20"/>
          <w:lang w:val="en-US"/>
        </w:rPr>
        <w:t>per HARQ process</w:t>
      </w:r>
      <w:r w:rsidR="006D1854">
        <w:rPr>
          <w:rFonts w:ascii="Arial" w:hAnsi="Arial"/>
          <w:sz w:val="20"/>
          <w:szCs w:val="20"/>
          <w:lang w:val="en-US"/>
        </w:rPr>
        <w:t xml:space="preserve">, </w:t>
      </w:r>
      <w:r w:rsidR="006D1854" w:rsidRPr="006D1854">
        <w:rPr>
          <w:rFonts w:ascii="Arial" w:hAnsi="Arial"/>
          <w:sz w:val="20"/>
          <w:szCs w:val="20"/>
          <w:lang w:val="en-US"/>
        </w:rPr>
        <w:t>per Logical Channel</w:t>
      </w:r>
      <w:r w:rsidR="0038501F">
        <w:rPr>
          <w:rFonts w:ascii="Arial" w:hAnsi="Arial"/>
          <w:sz w:val="20"/>
          <w:szCs w:val="20"/>
          <w:lang w:val="en-US"/>
        </w:rPr>
        <w:t>,</w:t>
      </w:r>
      <w:r w:rsidR="006D1854" w:rsidRPr="006D1854">
        <w:rPr>
          <w:rFonts w:ascii="Arial" w:hAnsi="Arial"/>
          <w:sz w:val="20"/>
          <w:szCs w:val="20"/>
          <w:lang w:val="en-US"/>
        </w:rPr>
        <w:t xml:space="preserve"> </w:t>
      </w:r>
      <w:r w:rsidR="006D1854">
        <w:rPr>
          <w:rFonts w:ascii="Arial" w:hAnsi="Arial"/>
          <w:sz w:val="20"/>
          <w:szCs w:val="20"/>
          <w:lang w:val="en-US"/>
        </w:rPr>
        <w:t xml:space="preserve">or </w:t>
      </w:r>
      <w:r w:rsidR="006D1854" w:rsidRPr="006D1854">
        <w:rPr>
          <w:rFonts w:ascii="Arial" w:hAnsi="Arial"/>
          <w:sz w:val="20"/>
          <w:szCs w:val="20"/>
          <w:lang w:val="en-US"/>
        </w:rPr>
        <w:t>per packet basis</w:t>
      </w:r>
    </w:p>
    <w:p w14:paraId="595177CA" w14:textId="3FDA195E" w:rsidR="00305D31" w:rsidRDefault="0038501F" w:rsidP="0031688B">
      <w:pPr>
        <w:jc w:val="both"/>
        <w:rPr>
          <w:rFonts w:ascii="Arial" w:hAnsi="Arial"/>
          <w:sz w:val="20"/>
          <w:szCs w:val="20"/>
        </w:rPr>
      </w:pPr>
      <w:r>
        <w:rPr>
          <w:rFonts w:ascii="Arial" w:hAnsi="Arial"/>
          <w:sz w:val="20"/>
          <w:szCs w:val="20"/>
        </w:rPr>
        <w:lastRenderedPageBreak/>
        <w:t xml:space="preserve">Given RAN2 is </w:t>
      </w:r>
      <w:r w:rsidR="00617FC1">
        <w:rPr>
          <w:rFonts w:ascii="Arial" w:hAnsi="Arial"/>
          <w:sz w:val="20"/>
          <w:szCs w:val="20"/>
        </w:rPr>
        <w:t xml:space="preserve">extensively discussing these aspects, we propose that RAN1 can wait for further progresses in RAN2 to avoid parallel discussion that may result in </w:t>
      </w:r>
      <w:r w:rsidR="00591B5B">
        <w:rPr>
          <w:rFonts w:ascii="Arial" w:hAnsi="Arial"/>
          <w:sz w:val="20"/>
          <w:szCs w:val="20"/>
        </w:rPr>
        <w:t>conflicting decisions among working groups</w:t>
      </w:r>
      <w:r w:rsidR="00617FC1">
        <w:rPr>
          <w:rFonts w:ascii="Arial" w:hAnsi="Arial"/>
          <w:sz w:val="20"/>
          <w:szCs w:val="20"/>
        </w:rPr>
        <w:t>.</w:t>
      </w:r>
    </w:p>
    <w:p w14:paraId="4D368466" w14:textId="14B3460A" w:rsidR="00443FA6" w:rsidRPr="00D80EB2" w:rsidRDefault="00D80EB2" w:rsidP="0031688B">
      <w:pPr>
        <w:pStyle w:val="Proposal"/>
        <w:rPr>
          <w:sz w:val="20"/>
          <w:szCs w:val="20"/>
        </w:rPr>
      </w:pPr>
      <w:bookmarkStart w:id="1" w:name="_Toc16841871"/>
      <w:r>
        <w:rPr>
          <w:sz w:val="20"/>
          <w:szCs w:val="20"/>
        </w:rPr>
        <w:t xml:space="preserve">RAN1 to wait for further progresses in RAN2 about </w:t>
      </w:r>
      <w:r w:rsidR="00146CB5">
        <w:rPr>
          <w:sz w:val="20"/>
          <w:szCs w:val="20"/>
        </w:rPr>
        <w:t>dynamic disabling of HARQ by gNB.</w:t>
      </w:r>
      <w:bookmarkEnd w:id="1"/>
    </w:p>
    <w:p w14:paraId="6B7905BF" w14:textId="18C08757" w:rsidR="00D80EB2" w:rsidRDefault="00D80EB2" w:rsidP="00D80EB2">
      <w:pPr>
        <w:pStyle w:val="Heading2"/>
      </w:pPr>
      <w:r>
        <w:t>2.2</w:t>
      </w:r>
      <w:r>
        <w:tab/>
      </w:r>
      <w:r w:rsidR="00386E93">
        <w:t>Transmission reliability of disabled HARQ processes</w:t>
      </w:r>
    </w:p>
    <w:p w14:paraId="43055A1D" w14:textId="37024ABC" w:rsidR="00591B5B" w:rsidRDefault="005034F0" w:rsidP="0031688B">
      <w:pPr>
        <w:jc w:val="both"/>
        <w:rPr>
          <w:rFonts w:ascii="Arial" w:hAnsi="Arial"/>
          <w:sz w:val="20"/>
          <w:szCs w:val="20"/>
        </w:rPr>
      </w:pPr>
      <w:r>
        <w:rPr>
          <w:rFonts w:ascii="Arial" w:hAnsi="Arial"/>
          <w:sz w:val="20"/>
          <w:szCs w:val="20"/>
        </w:rPr>
        <w:t>Regardless of whether the HARQ processes c</w:t>
      </w:r>
      <w:r w:rsidR="00451229">
        <w:rPr>
          <w:rFonts w:ascii="Arial" w:hAnsi="Arial"/>
          <w:sz w:val="20"/>
          <w:szCs w:val="20"/>
        </w:rPr>
        <w:t>an be dynamically enabl</w:t>
      </w:r>
      <w:r w:rsidR="00727F2A">
        <w:rPr>
          <w:rFonts w:ascii="Arial" w:hAnsi="Arial"/>
          <w:sz w:val="20"/>
          <w:szCs w:val="20"/>
        </w:rPr>
        <w:t>ed</w:t>
      </w:r>
      <w:r w:rsidR="00451229">
        <w:rPr>
          <w:rFonts w:ascii="Arial" w:hAnsi="Arial"/>
          <w:sz w:val="20"/>
          <w:szCs w:val="20"/>
        </w:rPr>
        <w:t>/disabl</w:t>
      </w:r>
      <w:r w:rsidR="00727F2A">
        <w:rPr>
          <w:rFonts w:ascii="Arial" w:hAnsi="Arial"/>
          <w:sz w:val="20"/>
          <w:szCs w:val="20"/>
        </w:rPr>
        <w:t>ed</w:t>
      </w:r>
      <w:r w:rsidR="00451229">
        <w:rPr>
          <w:rFonts w:ascii="Arial" w:hAnsi="Arial"/>
          <w:sz w:val="20"/>
          <w:szCs w:val="20"/>
        </w:rPr>
        <w:t>, t</w:t>
      </w:r>
      <w:r w:rsidR="00594F98">
        <w:rPr>
          <w:rFonts w:ascii="Arial" w:hAnsi="Arial"/>
          <w:sz w:val="20"/>
          <w:szCs w:val="20"/>
        </w:rPr>
        <w:t xml:space="preserve">he issue </w:t>
      </w:r>
      <w:r w:rsidR="00925D13">
        <w:rPr>
          <w:rFonts w:ascii="Arial" w:hAnsi="Arial"/>
          <w:sz w:val="20"/>
          <w:szCs w:val="20"/>
        </w:rPr>
        <w:t>regarding</w:t>
      </w:r>
      <w:r w:rsidR="00594F98">
        <w:rPr>
          <w:rFonts w:ascii="Arial" w:hAnsi="Arial"/>
          <w:sz w:val="20"/>
          <w:szCs w:val="20"/>
        </w:rPr>
        <w:t xml:space="preserve"> the t</w:t>
      </w:r>
      <w:r w:rsidR="00594F98" w:rsidRPr="00594F98">
        <w:rPr>
          <w:rFonts w:ascii="Arial" w:hAnsi="Arial"/>
          <w:sz w:val="20"/>
          <w:szCs w:val="20"/>
        </w:rPr>
        <w:t>ransmission reliability of disabled HARQ processes</w:t>
      </w:r>
      <w:r w:rsidR="00594F98">
        <w:rPr>
          <w:rFonts w:ascii="Arial" w:hAnsi="Arial"/>
          <w:sz w:val="20"/>
          <w:szCs w:val="20"/>
        </w:rPr>
        <w:t xml:space="preserve"> should be addressed, </w:t>
      </w:r>
      <w:r w:rsidR="00451229">
        <w:rPr>
          <w:rFonts w:ascii="Arial" w:hAnsi="Arial"/>
          <w:sz w:val="20"/>
          <w:szCs w:val="20"/>
        </w:rPr>
        <w:t>since it is agreed that network enabling/disabling of HARQ via RRC configuration should be supported.</w:t>
      </w:r>
    </w:p>
    <w:p w14:paraId="3A69C922" w14:textId="0C423F58" w:rsidR="009115E7" w:rsidRDefault="00620B33" w:rsidP="0031688B">
      <w:pPr>
        <w:jc w:val="both"/>
        <w:rPr>
          <w:rFonts w:ascii="Arial" w:hAnsi="Arial"/>
          <w:sz w:val="20"/>
          <w:szCs w:val="20"/>
        </w:rPr>
      </w:pPr>
      <w:r>
        <w:rPr>
          <w:rFonts w:ascii="Arial" w:hAnsi="Arial"/>
          <w:sz w:val="20"/>
          <w:szCs w:val="20"/>
        </w:rPr>
        <w:t>D</w:t>
      </w:r>
      <w:r w:rsidR="00F75DD9" w:rsidRPr="00F75DD9">
        <w:rPr>
          <w:rFonts w:ascii="Arial" w:hAnsi="Arial"/>
          <w:sz w:val="20"/>
          <w:szCs w:val="20"/>
        </w:rPr>
        <w:t xml:space="preserve">isabling HARQ feedback </w:t>
      </w:r>
      <w:r>
        <w:rPr>
          <w:rFonts w:ascii="Arial" w:hAnsi="Arial"/>
          <w:sz w:val="20"/>
          <w:szCs w:val="20"/>
        </w:rPr>
        <w:t>may</w:t>
      </w:r>
      <w:r w:rsidR="00F75DD9" w:rsidRPr="00F75DD9">
        <w:rPr>
          <w:rFonts w:ascii="Arial" w:hAnsi="Arial"/>
          <w:sz w:val="20"/>
          <w:szCs w:val="20"/>
        </w:rPr>
        <w:t xml:space="preserve"> increase the residual Block Error Rate</w:t>
      </w:r>
      <w:r w:rsidR="008F7F6A">
        <w:rPr>
          <w:rFonts w:ascii="Arial" w:hAnsi="Arial"/>
          <w:sz w:val="20"/>
          <w:szCs w:val="20"/>
        </w:rPr>
        <w:t xml:space="preserve"> (BLER)</w:t>
      </w:r>
      <w:r w:rsidR="00F75DD9" w:rsidRPr="00F75DD9">
        <w:rPr>
          <w:rFonts w:ascii="Arial" w:hAnsi="Arial"/>
          <w:sz w:val="20"/>
          <w:szCs w:val="20"/>
        </w:rPr>
        <w:t xml:space="preserve"> since retransmissions based on HARQ feedback are not possible anymore. For robustness and to minimize the need of RLC AM retransmission, the </w:t>
      </w:r>
      <w:r w:rsidR="008F7F6A">
        <w:rPr>
          <w:rFonts w:ascii="Arial" w:hAnsi="Arial"/>
          <w:sz w:val="20"/>
          <w:szCs w:val="20"/>
        </w:rPr>
        <w:t xml:space="preserve">BLER </w:t>
      </w:r>
      <w:r w:rsidR="00F75DD9" w:rsidRPr="00F75DD9">
        <w:rPr>
          <w:rFonts w:ascii="Arial" w:hAnsi="Arial"/>
          <w:sz w:val="20"/>
          <w:szCs w:val="20"/>
        </w:rPr>
        <w:t xml:space="preserve">target of the first transmission should be reduced. </w:t>
      </w:r>
      <w:r w:rsidR="009115E7">
        <w:rPr>
          <w:rFonts w:ascii="Arial" w:hAnsi="Arial"/>
          <w:sz w:val="20"/>
          <w:szCs w:val="20"/>
        </w:rPr>
        <w:t>If the feedback is disabled for some HARQ processes but not for the others, it is not desirable to apply the same configuration. For example, for a HARQ process working as is today, the BLER target should remain the same (e.g. 10%), while for a HARQ process with feedback disabled, the BLER target should be lower (e.g. 1%).</w:t>
      </w:r>
    </w:p>
    <w:p w14:paraId="6B96FDA4" w14:textId="49673869" w:rsidR="00EE3717" w:rsidRDefault="00EE3717" w:rsidP="0031688B">
      <w:pPr>
        <w:jc w:val="both"/>
        <w:rPr>
          <w:rFonts w:ascii="Arial" w:hAnsi="Arial"/>
          <w:sz w:val="20"/>
          <w:szCs w:val="20"/>
        </w:rPr>
      </w:pPr>
      <w:r>
        <w:rPr>
          <w:rFonts w:ascii="Arial" w:hAnsi="Arial"/>
          <w:sz w:val="20"/>
          <w:szCs w:val="20"/>
        </w:rPr>
        <w:t xml:space="preserve">The </w:t>
      </w:r>
      <w:r w:rsidRPr="00F75DD9">
        <w:rPr>
          <w:rFonts w:ascii="Arial" w:hAnsi="Arial"/>
          <w:sz w:val="20"/>
          <w:szCs w:val="20"/>
        </w:rPr>
        <w:t>existing Rel</w:t>
      </w:r>
      <w:r w:rsidR="0076642A">
        <w:rPr>
          <w:rFonts w:ascii="Arial" w:hAnsi="Arial"/>
          <w:sz w:val="20"/>
          <w:szCs w:val="20"/>
        </w:rPr>
        <w:t>-</w:t>
      </w:r>
      <w:r w:rsidRPr="00F75DD9">
        <w:rPr>
          <w:rFonts w:ascii="Arial" w:hAnsi="Arial"/>
          <w:sz w:val="20"/>
          <w:szCs w:val="20"/>
        </w:rPr>
        <w:t>15 NR functionality</w:t>
      </w:r>
      <w:r>
        <w:rPr>
          <w:rFonts w:ascii="Arial" w:hAnsi="Arial"/>
          <w:sz w:val="20"/>
          <w:szCs w:val="20"/>
        </w:rPr>
        <w:t xml:space="preserve"> should be used as the baseline </w:t>
      </w:r>
      <w:r w:rsidR="008F7F6A">
        <w:rPr>
          <w:rFonts w:ascii="Arial" w:hAnsi="Arial"/>
          <w:sz w:val="20"/>
          <w:szCs w:val="20"/>
        </w:rPr>
        <w:t>for achieving lower BLER</w:t>
      </w:r>
      <w:r w:rsidR="0076642A">
        <w:rPr>
          <w:rFonts w:ascii="Arial" w:hAnsi="Arial"/>
          <w:sz w:val="20"/>
          <w:szCs w:val="20"/>
        </w:rPr>
        <w:t xml:space="preserve"> target. </w:t>
      </w:r>
      <w:r w:rsidR="00342682">
        <w:rPr>
          <w:rFonts w:ascii="Arial" w:hAnsi="Arial"/>
          <w:sz w:val="20"/>
          <w:szCs w:val="20"/>
        </w:rPr>
        <w:t>As an e</w:t>
      </w:r>
      <w:r w:rsidR="00203959">
        <w:rPr>
          <w:rFonts w:ascii="Arial" w:hAnsi="Arial"/>
          <w:sz w:val="20"/>
          <w:szCs w:val="20"/>
        </w:rPr>
        <w:t>xample</w:t>
      </w:r>
      <w:r w:rsidR="00342682">
        <w:rPr>
          <w:rFonts w:ascii="Arial" w:hAnsi="Arial"/>
          <w:sz w:val="20"/>
          <w:szCs w:val="20"/>
        </w:rPr>
        <w:t>,</w:t>
      </w:r>
      <w:r w:rsidR="00F227BA">
        <w:rPr>
          <w:rFonts w:ascii="Arial" w:hAnsi="Arial"/>
          <w:sz w:val="20"/>
          <w:szCs w:val="20"/>
        </w:rPr>
        <w:t xml:space="preserve"> </w:t>
      </w:r>
      <w:r w:rsidR="00342682">
        <w:rPr>
          <w:rFonts w:ascii="Arial" w:hAnsi="Arial"/>
          <w:sz w:val="20"/>
          <w:szCs w:val="20"/>
        </w:rPr>
        <w:t xml:space="preserve">the </w:t>
      </w:r>
      <w:r w:rsidR="00F227BA">
        <w:rPr>
          <w:rFonts w:ascii="Arial" w:hAnsi="Arial"/>
          <w:sz w:val="20"/>
          <w:szCs w:val="20"/>
        </w:rPr>
        <w:t>existing Rel-15 methods</w:t>
      </w:r>
      <w:r w:rsidR="00203959">
        <w:rPr>
          <w:rFonts w:ascii="Arial" w:hAnsi="Arial"/>
          <w:sz w:val="20"/>
          <w:szCs w:val="20"/>
        </w:rPr>
        <w:t xml:space="preserve"> include </w:t>
      </w:r>
    </w:p>
    <w:p w14:paraId="655D71CD" w14:textId="41F5760D" w:rsidR="00203959" w:rsidRDefault="00203959" w:rsidP="00203959">
      <w:pPr>
        <w:pStyle w:val="ListParagraph"/>
        <w:numPr>
          <w:ilvl w:val="0"/>
          <w:numId w:val="27"/>
        </w:numPr>
        <w:jc w:val="both"/>
        <w:rPr>
          <w:rFonts w:ascii="Arial" w:hAnsi="Arial"/>
          <w:sz w:val="20"/>
          <w:szCs w:val="20"/>
        </w:rPr>
      </w:pPr>
      <w:r w:rsidRPr="00F75DD9">
        <w:rPr>
          <w:rFonts w:ascii="Arial" w:hAnsi="Arial"/>
          <w:sz w:val="20"/>
          <w:szCs w:val="20"/>
        </w:rPr>
        <w:t>selection of more conservative Modulation Coding Schemes</w:t>
      </w:r>
    </w:p>
    <w:p w14:paraId="00BEA4CC" w14:textId="31994474" w:rsidR="00203959" w:rsidRDefault="00203959" w:rsidP="00203959">
      <w:pPr>
        <w:pStyle w:val="ListParagraph"/>
        <w:numPr>
          <w:ilvl w:val="0"/>
          <w:numId w:val="27"/>
        </w:numPr>
        <w:jc w:val="both"/>
        <w:rPr>
          <w:rFonts w:ascii="Arial" w:hAnsi="Arial"/>
          <w:sz w:val="20"/>
          <w:szCs w:val="20"/>
        </w:rPr>
      </w:pPr>
      <w:r w:rsidRPr="00F75DD9">
        <w:rPr>
          <w:rFonts w:ascii="Arial" w:hAnsi="Arial"/>
          <w:sz w:val="20"/>
          <w:szCs w:val="20"/>
        </w:rPr>
        <w:t>use of a different MCS table</w:t>
      </w:r>
    </w:p>
    <w:p w14:paraId="5FE3EF14" w14:textId="544F1F30" w:rsidR="001373F8" w:rsidRDefault="001373F8" w:rsidP="00203959">
      <w:pPr>
        <w:pStyle w:val="ListParagraph"/>
        <w:numPr>
          <w:ilvl w:val="0"/>
          <w:numId w:val="27"/>
        </w:numPr>
        <w:jc w:val="both"/>
        <w:rPr>
          <w:rFonts w:ascii="Arial" w:hAnsi="Arial"/>
          <w:sz w:val="20"/>
          <w:szCs w:val="20"/>
        </w:rPr>
      </w:pPr>
      <w:r w:rsidRPr="00F75DD9">
        <w:rPr>
          <w:rFonts w:ascii="Arial" w:hAnsi="Arial"/>
          <w:sz w:val="20"/>
          <w:szCs w:val="20"/>
        </w:rPr>
        <w:t>use of higher power</w:t>
      </w:r>
    </w:p>
    <w:p w14:paraId="7A6C517F" w14:textId="4A81A405" w:rsidR="001373F8" w:rsidRPr="00203959" w:rsidRDefault="001373F8" w:rsidP="00203959">
      <w:pPr>
        <w:pStyle w:val="ListParagraph"/>
        <w:numPr>
          <w:ilvl w:val="0"/>
          <w:numId w:val="27"/>
        </w:numPr>
        <w:jc w:val="both"/>
        <w:rPr>
          <w:rFonts w:ascii="Arial" w:hAnsi="Arial"/>
          <w:sz w:val="20"/>
          <w:szCs w:val="20"/>
        </w:rPr>
      </w:pPr>
      <w:r>
        <w:rPr>
          <w:rFonts w:ascii="Arial" w:hAnsi="Arial"/>
          <w:sz w:val="20"/>
          <w:szCs w:val="20"/>
          <w:lang w:val="en-US"/>
        </w:rPr>
        <w:t xml:space="preserve">use of </w:t>
      </w:r>
      <w:r w:rsidRPr="00F75DD9">
        <w:rPr>
          <w:rFonts w:ascii="Arial" w:hAnsi="Arial"/>
          <w:sz w:val="20"/>
          <w:szCs w:val="20"/>
        </w:rPr>
        <w:t>a higher aggregation factor</w:t>
      </w:r>
    </w:p>
    <w:p w14:paraId="6255A889" w14:textId="1BB9F041" w:rsidR="00591CB9" w:rsidRPr="00591CB9" w:rsidRDefault="00957A0F" w:rsidP="00591CB9">
      <w:pPr>
        <w:jc w:val="both"/>
        <w:rPr>
          <w:rFonts w:ascii="Arial" w:hAnsi="Arial"/>
          <w:sz w:val="20"/>
          <w:szCs w:val="20"/>
        </w:rPr>
      </w:pPr>
      <w:r>
        <w:rPr>
          <w:rFonts w:ascii="Arial" w:hAnsi="Arial"/>
          <w:sz w:val="20"/>
          <w:szCs w:val="20"/>
        </w:rPr>
        <w:t xml:space="preserve">The effectiveness of these </w:t>
      </w:r>
      <w:r w:rsidR="001F4B43">
        <w:rPr>
          <w:rFonts w:ascii="Arial" w:hAnsi="Arial"/>
          <w:sz w:val="20"/>
          <w:szCs w:val="20"/>
        </w:rPr>
        <w:t xml:space="preserve">methods should be evaluated by RAN1 through link and </w:t>
      </w:r>
      <w:r w:rsidR="001F4B43" w:rsidRPr="00F75DD9">
        <w:rPr>
          <w:rFonts w:ascii="Arial" w:hAnsi="Arial"/>
          <w:sz w:val="20"/>
          <w:szCs w:val="20"/>
        </w:rPr>
        <w:t>system level simulations</w:t>
      </w:r>
      <w:r w:rsidR="003E6211">
        <w:rPr>
          <w:rFonts w:ascii="Arial" w:hAnsi="Arial"/>
          <w:sz w:val="20"/>
          <w:szCs w:val="20"/>
        </w:rPr>
        <w:t xml:space="preserve"> before n</w:t>
      </w:r>
      <w:r w:rsidR="00591CB9">
        <w:rPr>
          <w:rFonts w:ascii="Arial" w:hAnsi="Arial"/>
          <w:sz w:val="20"/>
          <w:szCs w:val="20"/>
        </w:rPr>
        <w:t>ew</w:t>
      </w:r>
      <w:r w:rsidR="003E6211">
        <w:rPr>
          <w:rFonts w:ascii="Arial" w:hAnsi="Arial"/>
          <w:sz w:val="20"/>
          <w:szCs w:val="20"/>
        </w:rPr>
        <w:t xml:space="preserve"> methods for achieving robust link level performance with HARQ disabled are considered</w:t>
      </w:r>
      <w:r w:rsidR="001F4B43">
        <w:rPr>
          <w:rFonts w:ascii="Arial" w:hAnsi="Arial"/>
          <w:sz w:val="20"/>
          <w:szCs w:val="20"/>
        </w:rPr>
        <w:t>.</w:t>
      </w:r>
      <w:r w:rsidR="00275BAA">
        <w:rPr>
          <w:rFonts w:ascii="Arial" w:hAnsi="Arial"/>
          <w:sz w:val="20"/>
          <w:szCs w:val="20"/>
        </w:rPr>
        <w:t xml:space="preserve"> </w:t>
      </w:r>
    </w:p>
    <w:p w14:paraId="0447417F" w14:textId="6BB0D329" w:rsidR="00591CB9" w:rsidRDefault="00591CB9" w:rsidP="00591CB9">
      <w:pPr>
        <w:pStyle w:val="Proposal"/>
        <w:rPr>
          <w:sz w:val="20"/>
          <w:szCs w:val="20"/>
        </w:rPr>
      </w:pPr>
      <w:bookmarkStart w:id="2" w:name="_Toc16841872"/>
      <w:r w:rsidRPr="00591CB9">
        <w:rPr>
          <w:sz w:val="20"/>
          <w:szCs w:val="20"/>
        </w:rPr>
        <w:t>If the feedback is disabled for some HARQ processes but not for the others, different transmission configurations should be applied.</w:t>
      </w:r>
      <w:bookmarkEnd w:id="2"/>
    </w:p>
    <w:p w14:paraId="5A7E610D" w14:textId="47618C11" w:rsidR="00591CB9" w:rsidRPr="00591CB9" w:rsidRDefault="006938A0" w:rsidP="00591CB9">
      <w:pPr>
        <w:pStyle w:val="Proposal"/>
        <w:rPr>
          <w:sz w:val="20"/>
          <w:szCs w:val="20"/>
        </w:rPr>
      </w:pPr>
      <w:bookmarkStart w:id="3" w:name="_Toc16841873"/>
      <w:r>
        <w:rPr>
          <w:sz w:val="20"/>
          <w:szCs w:val="20"/>
        </w:rPr>
        <w:t xml:space="preserve">The </w:t>
      </w:r>
      <w:r w:rsidRPr="00F75DD9">
        <w:rPr>
          <w:sz w:val="20"/>
          <w:szCs w:val="20"/>
        </w:rPr>
        <w:t>existing Rel</w:t>
      </w:r>
      <w:r>
        <w:rPr>
          <w:sz w:val="20"/>
          <w:szCs w:val="20"/>
        </w:rPr>
        <w:t>-</w:t>
      </w:r>
      <w:r w:rsidRPr="00F75DD9">
        <w:rPr>
          <w:sz w:val="20"/>
          <w:szCs w:val="20"/>
        </w:rPr>
        <w:t>15 NR functionality</w:t>
      </w:r>
      <w:r>
        <w:rPr>
          <w:sz w:val="20"/>
          <w:szCs w:val="20"/>
        </w:rPr>
        <w:t xml:space="preserve"> should be used as the baseline for achieving lower BLER target. RAN1 to evaluate the effectiveness of the Rel-15 methods</w:t>
      </w:r>
      <w:r w:rsidR="003B0126">
        <w:rPr>
          <w:sz w:val="20"/>
          <w:szCs w:val="20"/>
        </w:rPr>
        <w:t xml:space="preserve"> </w:t>
      </w:r>
      <w:r w:rsidR="00C242FB">
        <w:rPr>
          <w:sz w:val="20"/>
          <w:szCs w:val="20"/>
        </w:rPr>
        <w:t>for achieving lower BLER target</w:t>
      </w:r>
      <w:r w:rsidR="003E6211">
        <w:rPr>
          <w:sz w:val="20"/>
          <w:szCs w:val="20"/>
        </w:rPr>
        <w:t xml:space="preserve"> before any new methods are considered</w:t>
      </w:r>
      <w:r w:rsidR="00C242FB">
        <w:rPr>
          <w:sz w:val="20"/>
          <w:szCs w:val="20"/>
        </w:rPr>
        <w:t>.</w:t>
      </w:r>
      <w:bookmarkEnd w:id="3"/>
    </w:p>
    <w:p w14:paraId="60234F35" w14:textId="0493EDD1" w:rsidR="000C7A3B" w:rsidRDefault="000C7A3B" w:rsidP="000C7A3B">
      <w:pPr>
        <w:pStyle w:val="Heading2"/>
      </w:pPr>
      <w:r>
        <w:t>2.</w:t>
      </w:r>
      <w:r w:rsidR="00883CB6">
        <w:t>4</w:t>
      </w:r>
      <w:r>
        <w:tab/>
      </w:r>
      <w:r w:rsidR="00021340">
        <w:t>I</w:t>
      </w:r>
      <w:r w:rsidR="00021340" w:rsidRPr="00021340">
        <w:t>mpact of Satellite RTT when HARQ is enabled</w:t>
      </w:r>
    </w:p>
    <w:p w14:paraId="46D55085" w14:textId="2427F262" w:rsidR="00021340" w:rsidRPr="000C0830" w:rsidRDefault="00021340" w:rsidP="00960477">
      <w:pPr>
        <w:pStyle w:val="IvDInstructiontext"/>
        <w:rPr>
          <w:i w:val="0"/>
          <w:color w:val="auto"/>
          <w:sz w:val="20"/>
          <w:szCs w:val="20"/>
        </w:rPr>
      </w:pPr>
      <w:r>
        <w:rPr>
          <w:rStyle w:val="IvDbodytextChar"/>
          <w:i w:val="0"/>
          <w:color w:val="auto"/>
          <w:sz w:val="20"/>
          <w:szCs w:val="20"/>
        </w:rPr>
        <w:t xml:space="preserve">The NTN propagation delay can be considerably higher than that in terrestrial networks. </w:t>
      </w:r>
      <w:r w:rsidRPr="000C0830">
        <w:rPr>
          <w:i w:val="0"/>
          <w:color w:val="auto"/>
          <w:sz w:val="20"/>
          <w:szCs w:val="20"/>
        </w:rPr>
        <w:t xml:space="preserve">The existing HARQ mechanism may not be an efficient tool for providing fast feedback when the propagation delay is much larger than that supported by the allowed number of HARQ processes. For example, consider the scenario where NR is used for satellite communications. For the bent-pipe GEO case, the RTT propagation delay can be around 500 ms. With 16 HARQ processes, the gNB needs to wait for around 500 </w:t>
      </w:r>
      <w:proofErr w:type="spellStart"/>
      <w:r w:rsidRPr="000C0830">
        <w:rPr>
          <w:i w:val="0"/>
          <w:color w:val="auto"/>
          <w:sz w:val="20"/>
          <w:szCs w:val="20"/>
        </w:rPr>
        <w:t>ms</w:t>
      </w:r>
      <w:proofErr w:type="spellEnd"/>
      <w:r w:rsidRPr="000C0830">
        <w:rPr>
          <w:i w:val="0"/>
          <w:color w:val="auto"/>
          <w:sz w:val="20"/>
          <w:szCs w:val="20"/>
        </w:rPr>
        <w:t xml:space="preserve"> before sending new data. This translates to benefitting from only a meager fraction (16/500 or 3.2%) of the available peak throughput. For the bent-pipe LEO (at 1500 km altitude), the relatively smaller RTT propagation delay of around 50 </w:t>
      </w:r>
      <w:proofErr w:type="spellStart"/>
      <w:r w:rsidRPr="000C0830">
        <w:rPr>
          <w:i w:val="0"/>
          <w:color w:val="auto"/>
          <w:sz w:val="20"/>
          <w:szCs w:val="20"/>
        </w:rPr>
        <w:t>ms</w:t>
      </w:r>
      <w:proofErr w:type="spellEnd"/>
      <w:r w:rsidRPr="000C0830">
        <w:rPr>
          <w:i w:val="0"/>
          <w:color w:val="auto"/>
          <w:sz w:val="20"/>
          <w:szCs w:val="20"/>
        </w:rPr>
        <w:t xml:space="preserve"> results in a throughput utilization of 32%. Without a </w:t>
      </w:r>
      <w:proofErr w:type="gramStart"/>
      <w:r w:rsidRPr="000C0830">
        <w:rPr>
          <w:i w:val="0"/>
          <w:color w:val="auto"/>
          <w:sz w:val="20"/>
          <w:szCs w:val="20"/>
        </w:rPr>
        <w:t>sufficient number of</w:t>
      </w:r>
      <w:proofErr w:type="gramEnd"/>
      <w:r w:rsidRPr="000C0830">
        <w:rPr>
          <w:i w:val="0"/>
          <w:color w:val="auto"/>
          <w:sz w:val="20"/>
          <w:szCs w:val="20"/>
        </w:rPr>
        <w:t xml:space="preserve"> HARQ processes, the sheer magnitude of the propagation delay may render closed-loop HARQ communication impractical.</w:t>
      </w:r>
    </w:p>
    <w:p w14:paraId="2DA660F1" w14:textId="1DFE8FBA" w:rsidR="00960477" w:rsidRDefault="00021340" w:rsidP="00021340">
      <w:pPr>
        <w:pStyle w:val="IvDInstructiontext"/>
        <w:rPr>
          <w:i w:val="0"/>
          <w:color w:val="auto"/>
          <w:sz w:val="20"/>
          <w:szCs w:val="20"/>
        </w:rPr>
      </w:pPr>
      <w:r w:rsidRPr="000C0830">
        <w:rPr>
          <w:i w:val="0"/>
          <w:color w:val="auto"/>
          <w:sz w:val="20"/>
          <w:szCs w:val="20"/>
        </w:rPr>
        <w:t>While HARQ may not facilitate high data rates, it may still serve as a tool for providing reliability and coverage. For example, HARQ does facilitate high receiver processing gains thanks to soft-combining of retransmissions. For this reason, it may be beneficial to support HARQ for signaling and for short transmissions where coverage may be of higher importance than data rates.</w:t>
      </w:r>
    </w:p>
    <w:p w14:paraId="49DCA79D" w14:textId="77777777" w:rsidR="00960477" w:rsidRDefault="00960477" w:rsidP="00021340">
      <w:pPr>
        <w:pStyle w:val="IvDInstructiontext"/>
        <w:rPr>
          <w:i w:val="0"/>
          <w:color w:val="auto"/>
          <w:sz w:val="20"/>
          <w:szCs w:val="20"/>
        </w:rPr>
      </w:pPr>
    </w:p>
    <w:p w14:paraId="5202ED14" w14:textId="44DF333E" w:rsidR="00960477" w:rsidRPr="00833B02" w:rsidRDefault="00960477" w:rsidP="00960477">
      <w:pPr>
        <w:pStyle w:val="Observation"/>
        <w:overflowPunct w:val="0"/>
        <w:autoSpaceDE w:val="0"/>
        <w:autoSpaceDN w:val="0"/>
        <w:adjustRightInd w:val="0"/>
        <w:spacing w:line="240" w:lineRule="auto"/>
        <w:textAlignment w:val="baseline"/>
        <w:rPr>
          <w:sz w:val="20"/>
          <w:szCs w:val="20"/>
        </w:rPr>
      </w:pPr>
      <w:bookmarkStart w:id="4" w:name="_Toc16841864"/>
      <w:r>
        <w:rPr>
          <w:sz w:val="20"/>
          <w:szCs w:val="20"/>
        </w:rPr>
        <w:t>Satellite RTT may result in throughput loss when HARQ is enabled and</w:t>
      </w:r>
      <w:r w:rsidRPr="00960477">
        <w:rPr>
          <w:sz w:val="20"/>
          <w:szCs w:val="20"/>
        </w:rPr>
        <w:t xml:space="preserve"> </w:t>
      </w:r>
      <w:r>
        <w:rPr>
          <w:sz w:val="20"/>
          <w:szCs w:val="20"/>
        </w:rPr>
        <w:t>t</w:t>
      </w:r>
      <w:r w:rsidRPr="00960477">
        <w:rPr>
          <w:sz w:val="20"/>
          <w:szCs w:val="20"/>
        </w:rPr>
        <w:t xml:space="preserve">he number of HARQ processes is not </w:t>
      </w:r>
      <w:proofErr w:type="gramStart"/>
      <w:r w:rsidRPr="00960477">
        <w:rPr>
          <w:sz w:val="20"/>
          <w:szCs w:val="20"/>
        </w:rPr>
        <w:t>sufficient</w:t>
      </w:r>
      <w:proofErr w:type="gramEnd"/>
      <w:r w:rsidRPr="00960477">
        <w:rPr>
          <w:sz w:val="20"/>
          <w:szCs w:val="20"/>
        </w:rPr>
        <w:t xml:space="preserve"> to absorb the </w:t>
      </w:r>
      <w:r>
        <w:rPr>
          <w:sz w:val="20"/>
          <w:szCs w:val="20"/>
        </w:rPr>
        <w:t>RTT.</w:t>
      </w:r>
      <w:bookmarkEnd w:id="4"/>
    </w:p>
    <w:p w14:paraId="1F671E52" w14:textId="3A7DE091" w:rsidR="00960477" w:rsidRPr="00AD6BCD" w:rsidRDefault="00AD6BCD" w:rsidP="00021340">
      <w:pPr>
        <w:pStyle w:val="Observation"/>
        <w:overflowPunct w:val="0"/>
        <w:autoSpaceDE w:val="0"/>
        <w:autoSpaceDN w:val="0"/>
        <w:adjustRightInd w:val="0"/>
        <w:spacing w:line="240" w:lineRule="auto"/>
        <w:textAlignment w:val="baseline"/>
        <w:rPr>
          <w:sz w:val="20"/>
          <w:szCs w:val="20"/>
        </w:rPr>
      </w:pPr>
      <w:bookmarkStart w:id="5" w:name="_Toc16841865"/>
      <w:r>
        <w:rPr>
          <w:sz w:val="20"/>
          <w:szCs w:val="20"/>
        </w:rPr>
        <w:t xml:space="preserve">Enabling HARQ is beneficial for </w:t>
      </w:r>
      <w:r w:rsidRPr="000C0830">
        <w:rPr>
          <w:sz w:val="20"/>
          <w:szCs w:val="20"/>
        </w:rPr>
        <w:t>providing reliability and coverage</w:t>
      </w:r>
      <w:r>
        <w:rPr>
          <w:sz w:val="20"/>
          <w:szCs w:val="20"/>
        </w:rPr>
        <w:t xml:space="preserve"> and is desirable for </w:t>
      </w:r>
      <w:r w:rsidRPr="000C0830">
        <w:rPr>
          <w:sz w:val="20"/>
          <w:szCs w:val="20"/>
        </w:rPr>
        <w:t>signaling and for short transmissions where coverage may be of higher importance than data rates</w:t>
      </w:r>
      <w:r>
        <w:rPr>
          <w:sz w:val="20"/>
          <w:szCs w:val="20"/>
        </w:rPr>
        <w:t>.</w:t>
      </w:r>
      <w:bookmarkEnd w:id="5"/>
    </w:p>
    <w:p w14:paraId="19BA6E6A" w14:textId="66D08229" w:rsidR="003D2A49" w:rsidRDefault="003D2A49" w:rsidP="003D2A49">
      <w:pPr>
        <w:pStyle w:val="Heading2"/>
      </w:pPr>
      <w:r>
        <w:t>2.5</w:t>
      </w:r>
      <w:r>
        <w:tab/>
        <w:t>Impact of extending the number of HARQ processes</w:t>
      </w:r>
      <w:r w:rsidR="00306B83">
        <w:t xml:space="preserve"> on DCI and soft buffer</w:t>
      </w:r>
    </w:p>
    <w:p w14:paraId="202A92E1" w14:textId="7CF3904B" w:rsidR="003D2A49" w:rsidRDefault="003D2A49" w:rsidP="003D2A49">
      <w:pPr>
        <w:pStyle w:val="IvDInstructiontext"/>
        <w:rPr>
          <w:i w:val="0"/>
          <w:color w:val="auto"/>
          <w:sz w:val="20"/>
          <w:szCs w:val="20"/>
        </w:rPr>
      </w:pPr>
      <w:r w:rsidRPr="000C0830">
        <w:rPr>
          <w:i w:val="0"/>
          <w:color w:val="auto"/>
          <w:sz w:val="20"/>
          <w:szCs w:val="20"/>
        </w:rPr>
        <w:t xml:space="preserve">The number of HARQ processes supported by the existing HARQ protocol is not </w:t>
      </w:r>
      <w:proofErr w:type="gramStart"/>
      <w:r w:rsidRPr="000C0830">
        <w:rPr>
          <w:i w:val="0"/>
          <w:color w:val="auto"/>
          <w:sz w:val="20"/>
          <w:szCs w:val="20"/>
        </w:rPr>
        <w:t>sufficient</w:t>
      </w:r>
      <w:proofErr w:type="gramEnd"/>
      <w:r w:rsidRPr="000C0830">
        <w:rPr>
          <w:i w:val="0"/>
          <w:color w:val="auto"/>
          <w:sz w:val="20"/>
          <w:szCs w:val="20"/>
        </w:rPr>
        <w:t xml:space="preserve"> to absorb the potentially large propagation delays in non-terrestrial networks. This can be addressed by increasing the number of HARQ processes to match the propagation delay. </w:t>
      </w:r>
      <w:r>
        <w:rPr>
          <w:i w:val="0"/>
          <w:color w:val="auto"/>
          <w:sz w:val="20"/>
          <w:szCs w:val="20"/>
        </w:rPr>
        <w:t>But there are several impacts including DCI and soft buffer.</w:t>
      </w:r>
    </w:p>
    <w:p w14:paraId="1C518853" w14:textId="77777777" w:rsidR="003D2A49" w:rsidRDefault="003D2A49" w:rsidP="003D2A49">
      <w:pPr>
        <w:pStyle w:val="IvDInstructiontext"/>
        <w:rPr>
          <w:i w:val="0"/>
          <w:color w:val="auto"/>
          <w:sz w:val="20"/>
          <w:szCs w:val="20"/>
        </w:rPr>
      </w:pPr>
      <w:r w:rsidRPr="00584FBB">
        <w:rPr>
          <w:i w:val="0"/>
          <w:color w:val="auto"/>
          <w:sz w:val="20"/>
          <w:szCs w:val="20"/>
        </w:rPr>
        <w:t>The HARQ process ID field in DCI would need to be large enough to accommodate the maximum number of HARQ processes.</w:t>
      </w:r>
      <w:r>
        <w:rPr>
          <w:i w:val="0"/>
          <w:color w:val="auto"/>
          <w:sz w:val="20"/>
          <w:szCs w:val="20"/>
        </w:rPr>
        <w:t xml:space="preserve"> </w:t>
      </w:r>
    </w:p>
    <w:p w14:paraId="7EE78FAC" w14:textId="77777777" w:rsidR="003D2A49" w:rsidRDefault="003D2A49" w:rsidP="003D2A49">
      <w:pPr>
        <w:pStyle w:val="IvDInstructiontext"/>
        <w:numPr>
          <w:ilvl w:val="0"/>
          <w:numId w:val="38"/>
        </w:numPr>
        <w:rPr>
          <w:i w:val="0"/>
          <w:color w:val="auto"/>
          <w:sz w:val="20"/>
          <w:szCs w:val="20"/>
        </w:rPr>
      </w:pPr>
      <w:r>
        <w:rPr>
          <w:i w:val="0"/>
          <w:color w:val="auto"/>
          <w:sz w:val="20"/>
          <w:szCs w:val="20"/>
        </w:rPr>
        <w:t xml:space="preserve">In fallback DCI 0_0/1_0, the </w:t>
      </w:r>
      <w:r w:rsidRPr="00584FBB">
        <w:rPr>
          <w:i w:val="0"/>
          <w:color w:val="auto"/>
          <w:sz w:val="20"/>
          <w:szCs w:val="20"/>
        </w:rPr>
        <w:t>HARQ process ID field</w:t>
      </w:r>
      <w:r>
        <w:rPr>
          <w:i w:val="0"/>
          <w:color w:val="auto"/>
          <w:sz w:val="20"/>
          <w:szCs w:val="20"/>
        </w:rPr>
        <w:t xml:space="preserve"> has a fixed number of 4 bits. Note that fallback DCI is generally not configurable. For backward compatibility,</w:t>
      </w:r>
      <w:r w:rsidRPr="00584FBB">
        <w:rPr>
          <w:i w:val="0"/>
          <w:color w:val="auto"/>
          <w:sz w:val="20"/>
          <w:szCs w:val="20"/>
        </w:rPr>
        <w:t xml:space="preserve"> </w:t>
      </w:r>
      <w:r>
        <w:rPr>
          <w:i w:val="0"/>
          <w:color w:val="auto"/>
          <w:sz w:val="20"/>
          <w:szCs w:val="20"/>
        </w:rPr>
        <w:t xml:space="preserve">the </w:t>
      </w:r>
      <w:r w:rsidRPr="00584FBB">
        <w:rPr>
          <w:i w:val="0"/>
          <w:color w:val="auto"/>
          <w:sz w:val="20"/>
          <w:szCs w:val="20"/>
        </w:rPr>
        <w:t>HARQ process ID field</w:t>
      </w:r>
      <w:r>
        <w:rPr>
          <w:i w:val="0"/>
          <w:color w:val="auto"/>
          <w:sz w:val="20"/>
          <w:szCs w:val="20"/>
        </w:rPr>
        <w:t xml:space="preserve"> in fallback DCI 0_0/1_0 should not be extended to </w:t>
      </w:r>
      <w:r w:rsidRPr="00584FBB">
        <w:rPr>
          <w:i w:val="0"/>
          <w:color w:val="auto"/>
          <w:sz w:val="20"/>
          <w:szCs w:val="20"/>
        </w:rPr>
        <w:t>accommodate</w:t>
      </w:r>
      <w:r>
        <w:rPr>
          <w:i w:val="0"/>
          <w:color w:val="auto"/>
          <w:sz w:val="20"/>
          <w:szCs w:val="20"/>
        </w:rPr>
        <w:t xml:space="preserve"> more than 16 HARQ processes. </w:t>
      </w:r>
    </w:p>
    <w:p w14:paraId="147FAA2E" w14:textId="77777777" w:rsidR="003D2A49" w:rsidRDefault="003D2A49" w:rsidP="003D2A49">
      <w:pPr>
        <w:pStyle w:val="IvDInstructiontext"/>
        <w:numPr>
          <w:ilvl w:val="0"/>
          <w:numId w:val="38"/>
        </w:numPr>
        <w:rPr>
          <w:i w:val="0"/>
          <w:color w:val="auto"/>
          <w:sz w:val="20"/>
          <w:szCs w:val="20"/>
        </w:rPr>
      </w:pPr>
      <w:r w:rsidRPr="00584FBB">
        <w:rPr>
          <w:i w:val="0"/>
          <w:color w:val="auto"/>
          <w:sz w:val="20"/>
          <w:szCs w:val="20"/>
        </w:rPr>
        <w:t xml:space="preserve">In non-fallback DCI 0_1/1_1, the HARQ process ID field also has a fixed number of 4 bits. </w:t>
      </w:r>
      <w:r>
        <w:rPr>
          <w:i w:val="0"/>
          <w:color w:val="auto"/>
          <w:sz w:val="20"/>
          <w:szCs w:val="20"/>
        </w:rPr>
        <w:t xml:space="preserve">Non-fallback DCI is generally configurable and thus there is a possibility to extend the DCI to support more than 16 </w:t>
      </w:r>
      <w:r w:rsidRPr="00584FBB">
        <w:rPr>
          <w:i w:val="0"/>
          <w:color w:val="auto"/>
          <w:sz w:val="20"/>
          <w:szCs w:val="20"/>
        </w:rPr>
        <w:t>HARQ processes.</w:t>
      </w:r>
      <w:r>
        <w:rPr>
          <w:i w:val="0"/>
          <w:color w:val="auto"/>
          <w:sz w:val="20"/>
          <w:szCs w:val="20"/>
        </w:rPr>
        <w:t xml:space="preserve"> The required number of DCI bits will depend on to what extent the number of HARQ processes is increased.</w:t>
      </w:r>
    </w:p>
    <w:p w14:paraId="4440D1C0" w14:textId="2BEF9991" w:rsidR="00150BAD" w:rsidRDefault="00306B83" w:rsidP="00306B83">
      <w:pPr>
        <w:pStyle w:val="IvDInstructiontext"/>
        <w:rPr>
          <w:i w:val="0"/>
          <w:color w:val="auto"/>
          <w:sz w:val="20"/>
          <w:szCs w:val="20"/>
        </w:rPr>
      </w:pPr>
      <w:r>
        <w:rPr>
          <w:i w:val="0"/>
          <w:color w:val="auto"/>
          <w:sz w:val="20"/>
          <w:szCs w:val="20"/>
        </w:rPr>
        <w:t>As far as soft buffer is concerned</w:t>
      </w:r>
      <w:r w:rsidR="003D2A49" w:rsidRPr="003D2A49">
        <w:rPr>
          <w:i w:val="0"/>
          <w:color w:val="auto"/>
          <w:sz w:val="20"/>
          <w:szCs w:val="20"/>
        </w:rPr>
        <w:t xml:space="preserve">, soft buffer size may not necessarily have a linear relationship to the number of HARQ processes. </w:t>
      </w:r>
      <w:r w:rsidRPr="003D2A49">
        <w:rPr>
          <w:i w:val="0"/>
          <w:color w:val="auto"/>
          <w:sz w:val="20"/>
          <w:szCs w:val="20"/>
        </w:rPr>
        <w:t>There are several solutions for managing the buffer size to meet the peak rate under the required number of HARQ processes, for which there are various tradeoffs in energy efficiency, latency, and hardware complexity.</w:t>
      </w:r>
      <w:r>
        <w:rPr>
          <w:i w:val="0"/>
          <w:color w:val="auto"/>
          <w:sz w:val="20"/>
          <w:szCs w:val="20"/>
        </w:rPr>
        <w:t xml:space="preserve"> </w:t>
      </w:r>
      <w:r w:rsidRPr="00306B83">
        <w:rPr>
          <w:i w:val="0"/>
          <w:color w:val="auto"/>
          <w:sz w:val="20"/>
          <w:szCs w:val="20"/>
        </w:rPr>
        <w:t xml:space="preserve">Details of soft buffer dimensioning are up to UE implementation. That is, </w:t>
      </w:r>
      <w:r>
        <w:rPr>
          <w:i w:val="0"/>
          <w:color w:val="auto"/>
          <w:sz w:val="20"/>
          <w:szCs w:val="20"/>
        </w:rPr>
        <w:t>n</w:t>
      </w:r>
      <w:r w:rsidRPr="00306B83">
        <w:rPr>
          <w:i w:val="0"/>
          <w:color w:val="auto"/>
          <w:sz w:val="20"/>
          <w:szCs w:val="20"/>
        </w:rPr>
        <w:t>o soft buffer size table</w:t>
      </w:r>
      <w:r>
        <w:rPr>
          <w:i w:val="0"/>
          <w:color w:val="auto"/>
          <w:sz w:val="20"/>
          <w:szCs w:val="20"/>
        </w:rPr>
        <w:t xml:space="preserve"> is</w:t>
      </w:r>
      <w:r w:rsidRPr="00306B83">
        <w:rPr>
          <w:i w:val="0"/>
          <w:color w:val="auto"/>
          <w:sz w:val="20"/>
          <w:szCs w:val="20"/>
        </w:rPr>
        <w:t xml:space="preserve"> defined in RAN1/RAN2 specifications</w:t>
      </w:r>
      <w:r>
        <w:rPr>
          <w:i w:val="0"/>
          <w:color w:val="auto"/>
          <w:sz w:val="20"/>
          <w:szCs w:val="20"/>
        </w:rPr>
        <w:t>. The</w:t>
      </w:r>
      <w:r w:rsidRPr="00306B83">
        <w:rPr>
          <w:i w:val="0"/>
          <w:color w:val="auto"/>
          <w:sz w:val="20"/>
          <w:szCs w:val="20"/>
        </w:rPr>
        <w:t xml:space="preserve"> </w:t>
      </w:r>
      <w:r>
        <w:rPr>
          <w:i w:val="0"/>
          <w:color w:val="auto"/>
          <w:sz w:val="20"/>
          <w:szCs w:val="20"/>
        </w:rPr>
        <w:t>o</w:t>
      </w:r>
      <w:r w:rsidRPr="00306B83">
        <w:rPr>
          <w:i w:val="0"/>
          <w:color w:val="auto"/>
          <w:sz w:val="20"/>
          <w:szCs w:val="20"/>
        </w:rPr>
        <w:t xml:space="preserve">nly requirement to UE </w:t>
      </w:r>
      <w:r>
        <w:rPr>
          <w:i w:val="0"/>
          <w:color w:val="auto"/>
          <w:sz w:val="20"/>
          <w:szCs w:val="20"/>
        </w:rPr>
        <w:t xml:space="preserve">is </w:t>
      </w:r>
      <w:r w:rsidRPr="00306B83">
        <w:rPr>
          <w:i w:val="0"/>
          <w:color w:val="auto"/>
          <w:sz w:val="20"/>
          <w:szCs w:val="20"/>
        </w:rPr>
        <w:t>to pass RAN4 test cases</w:t>
      </w:r>
      <w:r>
        <w:rPr>
          <w:i w:val="0"/>
          <w:color w:val="auto"/>
          <w:sz w:val="20"/>
          <w:szCs w:val="20"/>
        </w:rPr>
        <w:t>.</w:t>
      </w:r>
    </w:p>
    <w:p w14:paraId="21E32D0A" w14:textId="77777777" w:rsidR="0082729B" w:rsidRPr="003D2A49" w:rsidRDefault="0082729B" w:rsidP="00306B83">
      <w:pPr>
        <w:pStyle w:val="IvDInstructiontext"/>
        <w:rPr>
          <w:i w:val="0"/>
          <w:color w:val="auto"/>
          <w:sz w:val="20"/>
          <w:szCs w:val="20"/>
        </w:rPr>
      </w:pPr>
    </w:p>
    <w:p w14:paraId="0994A8B3" w14:textId="77777777" w:rsidR="003D2A49" w:rsidRDefault="003D2A49" w:rsidP="003D2A49">
      <w:pPr>
        <w:pStyle w:val="Observation"/>
        <w:overflowPunct w:val="0"/>
        <w:autoSpaceDE w:val="0"/>
        <w:autoSpaceDN w:val="0"/>
        <w:adjustRightInd w:val="0"/>
        <w:spacing w:line="240" w:lineRule="auto"/>
        <w:textAlignment w:val="baseline"/>
        <w:rPr>
          <w:sz w:val="20"/>
          <w:szCs w:val="20"/>
        </w:rPr>
      </w:pPr>
      <w:bookmarkStart w:id="6" w:name="_Toc16841866"/>
      <w:r w:rsidRPr="003D2A49">
        <w:rPr>
          <w:sz w:val="20"/>
          <w:szCs w:val="20"/>
        </w:rPr>
        <w:t>For backward compatibility, the HARQ process ID field in fallback DCI 0_0/1_0 should not be extended to accommodate more than 16 HARQ processes.</w:t>
      </w:r>
      <w:bookmarkEnd w:id="6"/>
    </w:p>
    <w:p w14:paraId="27188211" w14:textId="2BEA6084" w:rsidR="003D2A49" w:rsidRDefault="003D2A49" w:rsidP="003D2A49">
      <w:pPr>
        <w:pStyle w:val="Observation"/>
        <w:overflowPunct w:val="0"/>
        <w:autoSpaceDE w:val="0"/>
        <w:autoSpaceDN w:val="0"/>
        <w:adjustRightInd w:val="0"/>
        <w:spacing w:line="240" w:lineRule="auto"/>
        <w:textAlignment w:val="baseline"/>
        <w:rPr>
          <w:sz w:val="20"/>
          <w:szCs w:val="20"/>
        </w:rPr>
      </w:pPr>
      <w:bookmarkStart w:id="7" w:name="_Toc16841867"/>
      <w:r w:rsidRPr="003D2A49">
        <w:rPr>
          <w:sz w:val="20"/>
          <w:szCs w:val="20"/>
        </w:rPr>
        <w:t>Non-fallback DCI is generally configurable and thus there is a possibility to extend the DCI to support more than 16 HARQ processes.</w:t>
      </w:r>
      <w:bookmarkEnd w:id="7"/>
    </w:p>
    <w:p w14:paraId="59857222" w14:textId="7735B502" w:rsidR="00306B83" w:rsidRPr="003D2A49" w:rsidRDefault="00306B83" w:rsidP="003D2A49">
      <w:pPr>
        <w:pStyle w:val="Observation"/>
        <w:overflowPunct w:val="0"/>
        <w:autoSpaceDE w:val="0"/>
        <w:autoSpaceDN w:val="0"/>
        <w:adjustRightInd w:val="0"/>
        <w:spacing w:line="240" w:lineRule="auto"/>
        <w:textAlignment w:val="baseline"/>
        <w:rPr>
          <w:sz w:val="20"/>
          <w:szCs w:val="20"/>
        </w:rPr>
      </w:pPr>
      <w:bookmarkStart w:id="8" w:name="_Toc16841868"/>
      <w:r>
        <w:rPr>
          <w:sz w:val="20"/>
          <w:szCs w:val="20"/>
        </w:rPr>
        <w:t>S</w:t>
      </w:r>
      <w:r w:rsidRPr="003D2A49">
        <w:rPr>
          <w:sz w:val="20"/>
          <w:szCs w:val="20"/>
        </w:rPr>
        <w:t>oft buffer size may not necessarily have a linear relationship to the number of HARQ processes</w:t>
      </w:r>
      <w:r>
        <w:rPr>
          <w:sz w:val="20"/>
          <w:szCs w:val="20"/>
        </w:rPr>
        <w:t>.</w:t>
      </w:r>
      <w:r w:rsidRPr="00306B83">
        <w:rPr>
          <w:sz w:val="20"/>
          <w:szCs w:val="20"/>
        </w:rPr>
        <w:t xml:space="preserve"> Details of soft buffer dimensioning are up to UE implementation.</w:t>
      </w:r>
      <w:bookmarkEnd w:id="8"/>
    </w:p>
    <w:p w14:paraId="36C66BBE" w14:textId="77777777" w:rsidR="003D2A49" w:rsidRPr="003D2A49" w:rsidRDefault="003D2A49" w:rsidP="003D2A49">
      <w:pPr>
        <w:pStyle w:val="Heading2"/>
      </w:pPr>
      <w:r>
        <w:t>2.6</w:t>
      </w:r>
      <w:r>
        <w:tab/>
        <w:t>Additional factors to consider for extending the number of HARQ processes</w:t>
      </w:r>
    </w:p>
    <w:p w14:paraId="39DA5955" w14:textId="526C88C8" w:rsidR="003D2A49" w:rsidRDefault="00306B83" w:rsidP="00306B83">
      <w:pPr>
        <w:jc w:val="both"/>
        <w:textAlignment w:val="center"/>
        <w:rPr>
          <w:rFonts w:ascii="Arial" w:eastAsia="Times New Roman" w:hAnsi="Arial" w:cs="Arial"/>
          <w:sz w:val="20"/>
          <w:szCs w:val="20"/>
        </w:rPr>
      </w:pPr>
      <w:r>
        <w:rPr>
          <w:rFonts w:ascii="Arial" w:eastAsia="Times New Roman" w:hAnsi="Arial" w:cs="Arial"/>
          <w:sz w:val="20"/>
          <w:szCs w:val="20"/>
        </w:rPr>
        <w:t xml:space="preserve">The main motivation of extending the number of HARQ processes in NTN </w:t>
      </w:r>
      <w:r w:rsidR="003D2A49" w:rsidRPr="00306B83">
        <w:rPr>
          <w:rFonts w:ascii="Arial" w:eastAsia="Times New Roman" w:hAnsi="Arial" w:cs="Arial"/>
          <w:sz w:val="20"/>
          <w:szCs w:val="20"/>
        </w:rPr>
        <w:t xml:space="preserve">to accommodate for larger delays, however there </w:t>
      </w:r>
      <w:r>
        <w:rPr>
          <w:rFonts w:ascii="Arial" w:eastAsia="Times New Roman" w:hAnsi="Arial" w:cs="Arial"/>
          <w:sz w:val="20"/>
          <w:szCs w:val="20"/>
        </w:rPr>
        <w:t>are</w:t>
      </w:r>
      <w:r w:rsidR="003D2A49" w:rsidRPr="00306B83">
        <w:rPr>
          <w:rFonts w:ascii="Arial" w:eastAsia="Times New Roman" w:hAnsi="Arial" w:cs="Arial"/>
          <w:sz w:val="20"/>
          <w:szCs w:val="20"/>
        </w:rPr>
        <w:t xml:space="preserve"> differences on the performance requirements under these larger delays.</w:t>
      </w:r>
      <w:r>
        <w:rPr>
          <w:rFonts w:ascii="Arial" w:eastAsia="Times New Roman" w:hAnsi="Arial" w:cs="Arial"/>
          <w:sz w:val="20"/>
          <w:szCs w:val="20"/>
        </w:rPr>
        <w:t xml:space="preserve"> </w:t>
      </w:r>
      <w:r w:rsidR="003D2A49" w:rsidRPr="00306B83">
        <w:rPr>
          <w:rFonts w:ascii="Arial" w:eastAsia="Times New Roman" w:hAnsi="Arial" w:cs="Arial"/>
          <w:sz w:val="20"/>
          <w:szCs w:val="20"/>
        </w:rPr>
        <w:t>It should be</w:t>
      </w:r>
      <w:r>
        <w:rPr>
          <w:rFonts w:ascii="Arial" w:eastAsia="Times New Roman" w:hAnsi="Arial" w:cs="Arial"/>
          <w:sz w:val="20"/>
          <w:szCs w:val="20"/>
        </w:rPr>
        <w:t xml:space="preserve"> noted </w:t>
      </w:r>
      <w:r w:rsidR="003D2A49" w:rsidRPr="00306B83">
        <w:rPr>
          <w:rFonts w:ascii="Arial" w:eastAsia="Times New Roman" w:hAnsi="Arial" w:cs="Arial"/>
          <w:sz w:val="20"/>
          <w:szCs w:val="20"/>
        </w:rPr>
        <w:t xml:space="preserve">that the theoretical highest throughput that </w:t>
      </w:r>
      <w:r w:rsidR="007B39E4">
        <w:rPr>
          <w:rFonts w:ascii="Arial" w:eastAsia="Times New Roman" w:hAnsi="Arial" w:cs="Arial"/>
          <w:sz w:val="20"/>
          <w:szCs w:val="20"/>
        </w:rPr>
        <w:t>an</w:t>
      </w:r>
      <w:r w:rsidR="003D2A49" w:rsidRPr="00306B83">
        <w:rPr>
          <w:rFonts w:ascii="Arial" w:eastAsia="Times New Roman" w:hAnsi="Arial" w:cs="Arial"/>
          <w:sz w:val="20"/>
          <w:szCs w:val="20"/>
        </w:rPr>
        <w:t xml:space="preserve"> </w:t>
      </w:r>
      <w:r>
        <w:rPr>
          <w:rFonts w:ascii="Arial" w:eastAsia="Times New Roman" w:hAnsi="Arial" w:cs="Arial"/>
          <w:sz w:val="20"/>
          <w:szCs w:val="20"/>
        </w:rPr>
        <w:t xml:space="preserve">NR </w:t>
      </w:r>
      <w:r w:rsidR="003D2A49" w:rsidRPr="00306B83">
        <w:rPr>
          <w:rFonts w:ascii="Arial" w:eastAsia="Times New Roman" w:hAnsi="Arial" w:cs="Arial"/>
          <w:sz w:val="20"/>
          <w:szCs w:val="20"/>
        </w:rPr>
        <w:t>UE can support, which typically corresponds to the configuration involving the largest bandwidth, maximum resource allocation, highest MCS with maximum MIMO layers</w:t>
      </w:r>
      <w:r>
        <w:rPr>
          <w:rFonts w:ascii="Arial" w:eastAsia="Times New Roman" w:hAnsi="Arial" w:cs="Arial"/>
          <w:sz w:val="20"/>
          <w:szCs w:val="20"/>
        </w:rPr>
        <w:t>, may not be applicable to NTN.</w:t>
      </w:r>
    </w:p>
    <w:p w14:paraId="28C8473C" w14:textId="29A2E4BE" w:rsidR="005A5248" w:rsidRPr="005A5248" w:rsidRDefault="005A5248" w:rsidP="005A5248">
      <w:pPr>
        <w:pStyle w:val="Observation"/>
        <w:overflowPunct w:val="0"/>
        <w:autoSpaceDE w:val="0"/>
        <w:autoSpaceDN w:val="0"/>
        <w:adjustRightInd w:val="0"/>
        <w:spacing w:line="240" w:lineRule="auto"/>
        <w:textAlignment w:val="baseline"/>
        <w:rPr>
          <w:sz w:val="20"/>
          <w:szCs w:val="20"/>
        </w:rPr>
      </w:pPr>
      <w:bookmarkStart w:id="9" w:name="_Toc16841869"/>
      <w:r>
        <w:rPr>
          <w:sz w:val="20"/>
          <w:szCs w:val="20"/>
        </w:rPr>
        <w:t>T</w:t>
      </w:r>
      <w:r w:rsidRPr="00306B83">
        <w:rPr>
          <w:rFonts w:eastAsia="Times New Roman" w:cs="Arial"/>
          <w:sz w:val="20"/>
          <w:szCs w:val="20"/>
        </w:rPr>
        <w:t xml:space="preserve">he theoretical highest throughput that </w:t>
      </w:r>
      <w:r>
        <w:rPr>
          <w:rFonts w:eastAsia="Times New Roman" w:cs="Arial"/>
          <w:sz w:val="20"/>
          <w:szCs w:val="20"/>
        </w:rPr>
        <w:t>an</w:t>
      </w:r>
      <w:r w:rsidRPr="00306B83">
        <w:rPr>
          <w:rFonts w:eastAsia="Times New Roman" w:cs="Arial"/>
          <w:sz w:val="20"/>
          <w:szCs w:val="20"/>
        </w:rPr>
        <w:t xml:space="preserve"> </w:t>
      </w:r>
      <w:r>
        <w:rPr>
          <w:rFonts w:eastAsia="Times New Roman" w:cs="Arial"/>
          <w:sz w:val="20"/>
          <w:szCs w:val="20"/>
        </w:rPr>
        <w:t xml:space="preserve">NR </w:t>
      </w:r>
      <w:r w:rsidRPr="00306B83">
        <w:rPr>
          <w:rFonts w:eastAsia="Times New Roman" w:cs="Arial"/>
          <w:sz w:val="20"/>
          <w:szCs w:val="20"/>
        </w:rPr>
        <w:t>UE can support, which typically corresponds to the configuration involving the largest bandwidth, maximum resource allocation, highest MCS with maximum MIMO layers</w:t>
      </w:r>
      <w:r>
        <w:rPr>
          <w:rFonts w:eastAsia="Times New Roman" w:cs="Arial"/>
          <w:sz w:val="20"/>
          <w:szCs w:val="20"/>
        </w:rPr>
        <w:t>, may not be applicable to NTN.</w:t>
      </w:r>
      <w:bookmarkEnd w:id="9"/>
    </w:p>
    <w:p w14:paraId="477D2D9E" w14:textId="03D8ACBF" w:rsidR="005A5248" w:rsidRDefault="005A5248" w:rsidP="00306B83">
      <w:pPr>
        <w:jc w:val="both"/>
        <w:textAlignment w:val="center"/>
        <w:rPr>
          <w:rFonts w:ascii="Arial" w:eastAsia="Times New Roman" w:hAnsi="Arial" w:cs="Arial"/>
          <w:sz w:val="20"/>
          <w:szCs w:val="20"/>
        </w:rPr>
      </w:pPr>
      <w:r w:rsidRPr="005A5248">
        <w:rPr>
          <w:rFonts w:ascii="Arial" w:eastAsia="Times New Roman" w:hAnsi="Arial" w:cs="Arial"/>
          <w:sz w:val="20"/>
          <w:szCs w:val="20"/>
        </w:rPr>
        <w:t>In NR Rel-15, limited buffer rate matching (LBRM) is supported to limit the buffer corresponding to a largest downlink TBS coded at rate R = 2/3. Table 1 shows the TBS</w:t>
      </w:r>
      <w:r w:rsidRPr="0082729B">
        <w:rPr>
          <w:rFonts w:ascii="Arial" w:eastAsia="Times New Roman" w:hAnsi="Arial" w:cs="Arial"/>
          <w:sz w:val="20"/>
          <w:szCs w:val="20"/>
          <w:vertAlign w:val="subscript"/>
        </w:rPr>
        <w:t>LBRM</w:t>
      </w:r>
      <w:r w:rsidRPr="005A5248">
        <w:rPr>
          <w:rFonts w:ascii="Arial" w:eastAsia="Times New Roman" w:hAnsi="Arial" w:cs="Arial"/>
          <w:sz w:val="20"/>
          <w:szCs w:val="20"/>
        </w:rPr>
        <w:t xml:space="preserve">, number of </w:t>
      </w:r>
      <w:proofErr w:type="spellStart"/>
      <w:r w:rsidRPr="005A5248">
        <w:rPr>
          <w:rFonts w:ascii="Arial" w:eastAsia="Times New Roman" w:hAnsi="Arial" w:cs="Arial"/>
          <w:sz w:val="20"/>
          <w:szCs w:val="20"/>
        </w:rPr>
        <w:t>codeblocks</w:t>
      </w:r>
      <w:proofErr w:type="spellEnd"/>
      <w:r w:rsidRPr="005A5248">
        <w:rPr>
          <w:rFonts w:ascii="Arial" w:eastAsia="Times New Roman" w:hAnsi="Arial" w:cs="Arial"/>
          <w:sz w:val="20"/>
          <w:szCs w:val="20"/>
        </w:rPr>
        <w:t xml:space="preserve"> (C) and </w:t>
      </w:r>
      <w:proofErr w:type="spellStart"/>
      <w:r w:rsidRPr="005A5248">
        <w:rPr>
          <w:rFonts w:ascii="Arial" w:eastAsia="Times New Roman" w:hAnsi="Arial" w:cs="Arial"/>
          <w:sz w:val="20"/>
          <w:szCs w:val="20"/>
        </w:rPr>
        <w:t>N</w:t>
      </w:r>
      <w:r w:rsidRPr="0082729B">
        <w:rPr>
          <w:rFonts w:ascii="Arial" w:eastAsia="Times New Roman" w:hAnsi="Arial" w:cs="Arial"/>
          <w:sz w:val="20"/>
          <w:szCs w:val="20"/>
          <w:vertAlign w:val="subscript"/>
        </w:rPr>
        <w:t>ref</w:t>
      </w:r>
      <w:proofErr w:type="spellEnd"/>
      <w:r w:rsidRPr="005A5248">
        <w:rPr>
          <w:rFonts w:ascii="Arial" w:eastAsia="Times New Roman" w:hAnsi="Arial" w:cs="Arial"/>
          <w:sz w:val="20"/>
          <w:szCs w:val="20"/>
        </w:rPr>
        <w:t xml:space="preserve"> for different number of scheduled PRBs.</w:t>
      </w:r>
    </w:p>
    <w:p w14:paraId="6E00EACF" w14:textId="79D88E51" w:rsidR="005A5248" w:rsidRPr="005A5248" w:rsidRDefault="005A5248" w:rsidP="0082729B">
      <w:pPr>
        <w:jc w:val="center"/>
        <w:textAlignment w:val="center"/>
        <w:rPr>
          <w:rFonts w:ascii="Arial" w:eastAsia="Times New Roman" w:hAnsi="Arial" w:cs="Arial"/>
          <w:b/>
          <w:sz w:val="20"/>
          <w:szCs w:val="20"/>
        </w:rPr>
      </w:pPr>
      <w:r w:rsidRPr="005A5248">
        <w:rPr>
          <w:rFonts w:ascii="Arial" w:eastAsia="Times New Roman" w:hAnsi="Arial" w:cs="Arial"/>
          <w:b/>
          <w:sz w:val="20"/>
          <w:szCs w:val="20"/>
        </w:rPr>
        <w:t>Table 1. TBS</w:t>
      </w:r>
      <w:r w:rsidRPr="0082729B">
        <w:rPr>
          <w:rFonts w:ascii="Arial" w:eastAsia="Times New Roman" w:hAnsi="Arial" w:cs="Arial"/>
          <w:b/>
          <w:sz w:val="20"/>
          <w:szCs w:val="20"/>
          <w:vertAlign w:val="subscript"/>
        </w:rPr>
        <w:t>LBRM</w:t>
      </w:r>
      <w:r w:rsidRPr="005A5248">
        <w:rPr>
          <w:rFonts w:ascii="Arial" w:eastAsia="Times New Roman" w:hAnsi="Arial" w:cs="Arial"/>
          <w:b/>
          <w:sz w:val="20"/>
          <w:szCs w:val="20"/>
        </w:rPr>
        <w:t xml:space="preserve">, number of </w:t>
      </w:r>
      <w:proofErr w:type="spellStart"/>
      <w:r w:rsidRPr="005A5248">
        <w:rPr>
          <w:rFonts w:ascii="Arial" w:eastAsia="Times New Roman" w:hAnsi="Arial" w:cs="Arial"/>
          <w:b/>
          <w:sz w:val="20"/>
          <w:szCs w:val="20"/>
        </w:rPr>
        <w:t>codeblocks</w:t>
      </w:r>
      <w:proofErr w:type="spellEnd"/>
      <w:r w:rsidRPr="005A5248">
        <w:rPr>
          <w:rFonts w:ascii="Arial" w:eastAsia="Times New Roman" w:hAnsi="Arial" w:cs="Arial"/>
          <w:b/>
          <w:sz w:val="20"/>
          <w:szCs w:val="20"/>
        </w:rPr>
        <w:t xml:space="preserve"> (C) and </w:t>
      </w:r>
      <w:proofErr w:type="spellStart"/>
      <w:r w:rsidRPr="005A5248">
        <w:rPr>
          <w:rFonts w:ascii="Arial" w:eastAsia="Times New Roman" w:hAnsi="Arial" w:cs="Arial"/>
          <w:b/>
          <w:sz w:val="20"/>
          <w:szCs w:val="20"/>
        </w:rPr>
        <w:t>N</w:t>
      </w:r>
      <w:r w:rsidRPr="0082729B">
        <w:rPr>
          <w:rFonts w:ascii="Arial" w:eastAsia="Times New Roman" w:hAnsi="Arial" w:cs="Arial"/>
          <w:b/>
          <w:sz w:val="20"/>
          <w:szCs w:val="20"/>
          <w:vertAlign w:val="subscript"/>
        </w:rPr>
        <w:t>ref</w:t>
      </w:r>
      <w:proofErr w:type="spellEnd"/>
      <w:r w:rsidRPr="005A5248">
        <w:rPr>
          <w:rFonts w:ascii="Arial" w:eastAsia="Times New Roman" w:hAnsi="Arial" w:cs="Arial"/>
          <w:b/>
          <w:sz w:val="20"/>
          <w:szCs w:val="20"/>
        </w:rPr>
        <w:t xml:space="preserve"> for different number of scheduled PRBs</w:t>
      </w:r>
    </w:p>
    <w:p w14:paraId="5494633B" w14:textId="1AB69475" w:rsidR="005A5248" w:rsidRDefault="005A5248" w:rsidP="005A5248">
      <w:pPr>
        <w:jc w:val="center"/>
        <w:textAlignment w:val="center"/>
        <w:rPr>
          <w:rFonts w:ascii="Arial" w:eastAsia="Times New Roman" w:hAnsi="Arial" w:cs="Arial"/>
          <w:sz w:val="20"/>
          <w:szCs w:val="20"/>
        </w:rPr>
      </w:pPr>
      <w:bookmarkStart w:id="10" w:name="_Toc16846260"/>
      <w:r>
        <w:rPr>
          <w:noProof/>
          <w:sz w:val="20"/>
          <w:szCs w:val="20"/>
        </w:rPr>
        <w:drawing>
          <wp:inline distT="0" distB="0" distL="0" distR="0" wp14:anchorId="30BE5C0C" wp14:editId="11DE0F34">
            <wp:extent cx="3443288" cy="2569956"/>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8962" cy="2581655"/>
                    </a:xfrm>
                    <a:prstGeom prst="rect">
                      <a:avLst/>
                    </a:prstGeom>
                    <a:noFill/>
                  </pic:spPr>
                </pic:pic>
              </a:graphicData>
            </a:graphic>
          </wp:inline>
        </w:drawing>
      </w:r>
      <w:bookmarkEnd w:id="10"/>
    </w:p>
    <w:p w14:paraId="696A0346" w14:textId="19EBEA87" w:rsidR="005A5248" w:rsidRDefault="005A5248" w:rsidP="005A5248">
      <w:pPr>
        <w:jc w:val="both"/>
        <w:textAlignment w:val="center"/>
        <w:rPr>
          <w:rFonts w:ascii="Arial" w:eastAsia="Times New Roman" w:hAnsi="Arial" w:cs="Arial"/>
          <w:sz w:val="20"/>
          <w:szCs w:val="20"/>
        </w:rPr>
      </w:pPr>
      <w:r w:rsidRPr="005A5248">
        <w:rPr>
          <w:rFonts w:ascii="Arial" w:eastAsia="Times New Roman" w:hAnsi="Arial" w:cs="Arial"/>
          <w:sz w:val="20"/>
          <w:szCs w:val="20"/>
        </w:rPr>
        <w:t xml:space="preserve">In NTN scenarios, however, the number of layers is mostly limited to 1 (i.e., no spatial multiplexing). Furthermore, the applicable highest MCS may also be limited depending on the scenario. We next present the maximum TBS sizes, the corresponding number of codewords and </w:t>
      </w:r>
      <w:proofErr w:type="spellStart"/>
      <w:r w:rsidRPr="005A5248">
        <w:rPr>
          <w:rFonts w:ascii="Arial" w:eastAsia="Times New Roman" w:hAnsi="Arial" w:cs="Arial"/>
          <w:sz w:val="20"/>
          <w:szCs w:val="20"/>
        </w:rPr>
        <w:t>N</w:t>
      </w:r>
      <w:r w:rsidRPr="0082729B">
        <w:rPr>
          <w:rFonts w:ascii="Arial" w:eastAsia="Times New Roman" w:hAnsi="Arial" w:cs="Arial"/>
          <w:sz w:val="20"/>
          <w:szCs w:val="20"/>
          <w:vertAlign w:val="subscript"/>
        </w:rPr>
        <w:t>ref</w:t>
      </w:r>
      <w:proofErr w:type="spellEnd"/>
      <w:r w:rsidRPr="005A5248">
        <w:rPr>
          <w:rFonts w:ascii="Arial" w:eastAsia="Times New Roman" w:hAnsi="Arial" w:cs="Arial"/>
          <w:sz w:val="20"/>
          <w:szCs w:val="20"/>
        </w:rPr>
        <w:t xml:space="preserve"> for NTN scenarios. Tables 2 and 3 provide the numbers for the case when the maximum modulation order is limited to 16-QAM and 64-QAM respectively. From these results, it is observed that the maximum TBS in NTN scenarios are 5-20 times smaller when compared to the corresponding TBS</w:t>
      </w:r>
      <w:r w:rsidRPr="0082729B">
        <w:rPr>
          <w:rFonts w:ascii="Arial" w:eastAsia="Times New Roman" w:hAnsi="Arial" w:cs="Arial"/>
          <w:sz w:val="20"/>
          <w:szCs w:val="20"/>
          <w:vertAlign w:val="subscript"/>
        </w:rPr>
        <w:t>LBRM</w:t>
      </w:r>
      <w:r w:rsidRPr="005A5248">
        <w:rPr>
          <w:rFonts w:ascii="Arial" w:eastAsia="Times New Roman" w:hAnsi="Arial" w:cs="Arial"/>
          <w:sz w:val="20"/>
          <w:szCs w:val="20"/>
        </w:rPr>
        <w:t xml:space="preserve"> for a given number of scheduled PRBs. Hence, we propose to </w:t>
      </w:r>
      <w:proofErr w:type="gramStart"/>
      <w:r w:rsidRPr="005A5248">
        <w:rPr>
          <w:rFonts w:ascii="Arial" w:eastAsia="Times New Roman" w:hAnsi="Arial" w:cs="Arial"/>
          <w:sz w:val="20"/>
          <w:szCs w:val="20"/>
        </w:rPr>
        <w:t>take into account</w:t>
      </w:r>
      <w:proofErr w:type="gramEnd"/>
      <w:r w:rsidRPr="005A5248">
        <w:rPr>
          <w:rFonts w:ascii="Arial" w:eastAsia="Times New Roman" w:hAnsi="Arial" w:cs="Arial"/>
          <w:sz w:val="20"/>
          <w:szCs w:val="20"/>
        </w:rPr>
        <w:t xml:space="preserve"> the small maximum TBSs associated with NTN scenarios when deciding whether or not to increase the number of HARQ processes.</w:t>
      </w:r>
    </w:p>
    <w:p w14:paraId="0A90F744" w14:textId="742FD075" w:rsidR="005A5248" w:rsidRPr="005A5248" w:rsidRDefault="005A5248" w:rsidP="005A5248">
      <w:pPr>
        <w:jc w:val="center"/>
        <w:textAlignment w:val="center"/>
        <w:rPr>
          <w:rFonts w:ascii="Arial" w:eastAsia="Times New Roman" w:hAnsi="Arial" w:cs="Arial"/>
          <w:b/>
          <w:sz w:val="20"/>
          <w:szCs w:val="20"/>
        </w:rPr>
      </w:pPr>
      <w:r w:rsidRPr="005A5248">
        <w:rPr>
          <w:rFonts w:ascii="Arial" w:eastAsia="Times New Roman" w:hAnsi="Arial" w:cs="Arial"/>
          <w:b/>
          <w:sz w:val="20"/>
          <w:szCs w:val="20"/>
        </w:rPr>
        <w:t xml:space="preserve">Table 2. Maximum TBS, number of </w:t>
      </w:r>
      <w:proofErr w:type="spellStart"/>
      <w:r w:rsidRPr="005A5248">
        <w:rPr>
          <w:rFonts w:ascii="Arial" w:eastAsia="Times New Roman" w:hAnsi="Arial" w:cs="Arial"/>
          <w:b/>
          <w:sz w:val="20"/>
          <w:szCs w:val="20"/>
        </w:rPr>
        <w:t>codeblocks</w:t>
      </w:r>
      <w:proofErr w:type="spellEnd"/>
      <w:r w:rsidRPr="005A5248">
        <w:rPr>
          <w:rFonts w:ascii="Arial" w:eastAsia="Times New Roman" w:hAnsi="Arial" w:cs="Arial"/>
          <w:b/>
          <w:sz w:val="20"/>
          <w:szCs w:val="20"/>
        </w:rPr>
        <w:t xml:space="preserve"> and </w:t>
      </w:r>
      <w:proofErr w:type="spellStart"/>
      <w:r w:rsidRPr="005A5248">
        <w:rPr>
          <w:rFonts w:ascii="Arial" w:eastAsia="Times New Roman" w:hAnsi="Arial" w:cs="Arial"/>
          <w:b/>
          <w:sz w:val="20"/>
          <w:szCs w:val="20"/>
        </w:rPr>
        <w:t>N</w:t>
      </w:r>
      <w:r w:rsidRPr="0082729B">
        <w:rPr>
          <w:rFonts w:ascii="Arial" w:eastAsia="Times New Roman" w:hAnsi="Arial" w:cs="Arial"/>
          <w:b/>
          <w:sz w:val="20"/>
          <w:szCs w:val="20"/>
          <w:vertAlign w:val="subscript"/>
        </w:rPr>
        <w:t>ref</w:t>
      </w:r>
      <w:proofErr w:type="spellEnd"/>
      <w:r w:rsidRPr="005A5248">
        <w:rPr>
          <w:rFonts w:ascii="Arial" w:eastAsia="Times New Roman" w:hAnsi="Arial" w:cs="Arial"/>
          <w:b/>
          <w:sz w:val="20"/>
          <w:szCs w:val="20"/>
        </w:rPr>
        <w:t xml:space="preserve"> for different number of scheduled PRBs in NTN scenarios assuming a maximum modulation order of 16-QAM</w:t>
      </w:r>
    </w:p>
    <w:p w14:paraId="0BC3FACB" w14:textId="695D0885" w:rsidR="005A5248" w:rsidRDefault="005A5248" w:rsidP="005A5248">
      <w:pPr>
        <w:jc w:val="center"/>
        <w:textAlignment w:val="center"/>
        <w:rPr>
          <w:rFonts w:ascii="Arial" w:eastAsia="Times New Roman" w:hAnsi="Arial" w:cs="Arial"/>
          <w:sz w:val="20"/>
          <w:szCs w:val="20"/>
        </w:rPr>
      </w:pPr>
      <w:bookmarkStart w:id="11" w:name="_Toc16846264"/>
      <w:r>
        <w:rPr>
          <w:noProof/>
          <w:sz w:val="20"/>
          <w:szCs w:val="20"/>
        </w:rPr>
        <w:drawing>
          <wp:inline distT="0" distB="0" distL="0" distR="0" wp14:anchorId="2DEBAB77" wp14:editId="451DAF80">
            <wp:extent cx="3447288" cy="253926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7288" cy="2539260"/>
                    </a:xfrm>
                    <a:prstGeom prst="rect">
                      <a:avLst/>
                    </a:prstGeom>
                    <a:noFill/>
                  </pic:spPr>
                </pic:pic>
              </a:graphicData>
            </a:graphic>
          </wp:inline>
        </w:drawing>
      </w:r>
      <w:bookmarkEnd w:id="11"/>
    </w:p>
    <w:p w14:paraId="311CC570" w14:textId="6B54189C" w:rsidR="005A5248" w:rsidRPr="005A5248" w:rsidRDefault="005A5248" w:rsidP="005A5248">
      <w:pPr>
        <w:jc w:val="center"/>
        <w:textAlignment w:val="center"/>
        <w:rPr>
          <w:rFonts w:ascii="Arial" w:eastAsia="Times New Roman" w:hAnsi="Arial" w:cs="Arial"/>
          <w:b/>
          <w:sz w:val="20"/>
          <w:szCs w:val="20"/>
        </w:rPr>
      </w:pPr>
      <w:r w:rsidRPr="005A5248">
        <w:rPr>
          <w:rFonts w:ascii="Arial" w:eastAsia="Times New Roman" w:hAnsi="Arial" w:cs="Arial"/>
          <w:b/>
          <w:sz w:val="20"/>
          <w:szCs w:val="20"/>
        </w:rPr>
        <w:t xml:space="preserve">Table 3. Maximum TBS size, number of </w:t>
      </w:r>
      <w:proofErr w:type="spellStart"/>
      <w:r w:rsidRPr="005A5248">
        <w:rPr>
          <w:rFonts w:ascii="Arial" w:eastAsia="Times New Roman" w:hAnsi="Arial" w:cs="Arial"/>
          <w:b/>
          <w:sz w:val="20"/>
          <w:szCs w:val="20"/>
        </w:rPr>
        <w:t>codeblocks</w:t>
      </w:r>
      <w:proofErr w:type="spellEnd"/>
      <w:r w:rsidRPr="005A5248">
        <w:rPr>
          <w:rFonts w:ascii="Arial" w:eastAsia="Times New Roman" w:hAnsi="Arial" w:cs="Arial"/>
          <w:b/>
          <w:sz w:val="20"/>
          <w:szCs w:val="20"/>
        </w:rPr>
        <w:t xml:space="preserve"> and </w:t>
      </w:r>
      <w:proofErr w:type="spellStart"/>
      <w:r w:rsidRPr="005A5248">
        <w:rPr>
          <w:rFonts w:ascii="Arial" w:eastAsia="Times New Roman" w:hAnsi="Arial" w:cs="Arial"/>
          <w:b/>
          <w:sz w:val="20"/>
          <w:szCs w:val="20"/>
        </w:rPr>
        <w:t>N</w:t>
      </w:r>
      <w:r w:rsidRPr="0082729B">
        <w:rPr>
          <w:rFonts w:ascii="Arial" w:eastAsia="Times New Roman" w:hAnsi="Arial" w:cs="Arial"/>
          <w:b/>
          <w:sz w:val="20"/>
          <w:szCs w:val="20"/>
          <w:vertAlign w:val="subscript"/>
        </w:rPr>
        <w:t>ref</w:t>
      </w:r>
      <w:proofErr w:type="spellEnd"/>
      <w:r w:rsidRPr="005A5248">
        <w:rPr>
          <w:rFonts w:ascii="Arial" w:eastAsia="Times New Roman" w:hAnsi="Arial" w:cs="Arial"/>
          <w:b/>
          <w:sz w:val="20"/>
          <w:szCs w:val="20"/>
        </w:rPr>
        <w:t xml:space="preserve"> for different number of scheduled PRBs in NTN scenarios assuming a maximum modulation order of 64-QAM</w:t>
      </w:r>
    </w:p>
    <w:p w14:paraId="767B8AD7" w14:textId="6CBD6239" w:rsidR="005A5248" w:rsidRDefault="005A5248" w:rsidP="005A5248">
      <w:pPr>
        <w:jc w:val="center"/>
        <w:textAlignment w:val="center"/>
        <w:rPr>
          <w:rFonts w:ascii="Arial" w:eastAsia="Times New Roman" w:hAnsi="Arial" w:cs="Arial"/>
          <w:sz w:val="20"/>
          <w:szCs w:val="20"/>
        </w:rPr>
      </w:pPr>
      <w:bookmarkStart w:id="12" w:name="_Toc16846266"/>
      <w:r>
        <w:rPr>
          <w:noProof/>
          <w:sz w:val="20"/>
          <w:szCs w:val="20"/>
        </w:rPr>
        <w:drawing>
          <wp:inline distT="0" distB="0" distL="0" distR="0" wp14:anchorId="386E1134" wp14:editId="7196D254">
            <wp:extent cx="3447288" cy="253926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7288" cy="2539260"/>
                    </a:xfrm>
                    <a:prstGeom prst="rect">
                      <a:avLst/>
                    </a:prstGeom>
                    <a:noFill/>
                  </pic:spPr>
                </pic:pic>
              </a:graphicData>
            </a:graphic>
          </wp:inline>
        </w:drawing>
      </w:r>
      <w:bookmarkEnd w:id="12"/>
    </w:p>
    <w:p w14:paraId="0EB64837" w14:textId="2C0D2F30" w:rsidR="005A5248" w:rsidRPr="005A5248" w:rsidRDefault="005A5248" w:rsidP="005A5248">
      <w:pPr>
        <w:pStyle w:val="Observation"/>
        <w:overflowPunct w:val="0"/>
        <w:autoSpaceDE w:val="0"/>
        <w:autoSpaceDN w:val="0"/>
        <w:adjustRightInd w:val="0"/>
        <w:spacing w:line="240" w:lineRule="auto"/>
        <w:textAlignment w:val="baseline"/>
        <w:rPr>
          <w:sz w:val="20"/>
          <w:szCs w:val="20"/>
        </w:rPr>
      </w:pPr>
      <w:bookmarkStart w:id="13" w:name="_Toc16841870"/>
      <w:r w:rsidRPr="005A5248">
        <w:rPr>
          <w:rFonts w:eastAsia="Times New Roman" w:cs="Arial"/>
          <w:sz w:val="20"/>
          <w:szCs w:val="20"/>
        </w:rPr>
        <w:t>The maximum TBS sizes in NTN scenarios are 5-20 times smaller when compared to the corresponding TBS</w:t>
      </w:r>
      <w:r w:rsidRPr="009E369A">
        <w:rPr>
          <w:rFonts w:eastAsia="Times New Roman" w:cs="Arial"/>
          <w:sz w:val="20"/>
          <w:szCs w:val="20"/>
          <w:vertAlign w:val="subscript"/>
        </w:rPr>
        <w:t>LBRM</w:t>
      </w:r>
      <w:r w:rsidRPr="005A5248">
        <w:rPr>
          <w:rFonts w:eastAsia="Times New Roman" w:cs="Arial"/>
          <w:sz w:val="20"/>
          <w:szCs w:val="20"/>
        </w:rPr>
        <w:t xml:space="preserve"> for a given number of scheduled PRBs.</w:t>
      </w:r>
      <w:bookmarkEnd w:id="13"/>
    </w:p>
    <w:p w14:paraId="1B3416DF" w14:textId="4489EEC4" w:rsidR="005A5248" w:rsidRPr="005A5248" w:rsidRDefault="005A5248" w:rsidP="005A5248">
      <w:pPr>
        <w:pStyle w:val="Proposal"/>
        <w:rPr>
          <w:sz w:val="20"/>
          <w:szCs w:val="20"/>
        </w:rPr>
      </w:pPr>
      <w:bookmarkStart w:id="14" w:name="_Toc16841874"/>
      <w:proofErr w:type="gramStart"/>
      <w:r w:rsidRPr="005A5248">
        <w:rPr>
          <w:rFonts w:eastAsia="Times New Roman" w:cs="Arial"/>
          <w:sz w:val="20"/>
          <w:szCs w:val="20"/>
        </w:rPr>
        <w:t>Take into account</w:t>
      </w:r>
      <w:proofErr w:type="gramEnd"/>
      <w:r w:rsidRPr="005A5248">
        <w:rPr>
          <w:rFonts w:eastAsia="Times New Roman" w:cs="Arial"/>
          <w:sz w:val="20"/>
          <w:szCs w:val="20"/>
        </w:rPr>
        <w:t xml:space="preserve"> the small maximum TBS sizes associated with NTN scenarios when deciding whether or not to increase the number of HARQ processes.</w:t>
      </w:r>
      <w:bookmarkEnd w:id="14"/>
    </w:p>
    <w:p w14:paraId="5300F849" w14:textId="18599418" w:rsidR="00C01F33" w:rsidRPr="00CE0424" w:rsidRDefault="00C01F33" w:rsidP="00CE0424">
      <w:pPr>
        <w:pStyle w:val="Heading1"/>
      </w:pPr>
      <w:r w:rsidRPr="00CE0424">
        <w:t>Conclusion</w:t>
      </w:r>
    </w:p>
    <w:p w14:paraId="5457A0DE" w14:textId="106390B5" w:rsidR="00EC6B83" w:rsidRPr="00B3738A" w:rsidRDefault="00F03DAF" w:rsidP="00D6223C">
      <w:pPr>
        <w:jc w:val="both"/>
        <w:rPr>
          <w:rFonts w:ascii="Arial" w:hAnsi="Arial" w:cs="Arial"/>
          <w:b/>
          <w:bCs/>
          <w:sz w:val="20"/>
          <w:szCs w:val="20"/>
        </w:rPr>
      </w:pPr>
      <w:r w:rsidRPr="00B3738A">
        <w:rPr>
          <w:rFonts w:ascii="Arial" w:hAnsi="Arial" w:cs="Arial"/>
          <w:sz w:val="20"/>
          <w:szCs w:val="20"/>
        </w:rPr>
        <w:t>In the previous sections</w:t>
      </w:r>
      <w:r w:rsidR="00C836D8" w:rsidRPr="00B3738A">
        <w:rPr>
          <w:rFonts w:ascii="Arial" w:hAnsi="Arial" w:cs="Arial"/>
          <w:sz w:val="20"/>
          <w:szCs w:val="20"/>
        </w:rPr>
        <w:t xml:space="preserve">, we </w:t>
      </w:r>
      <w:r w:rsidR="00D6223C" w:rsidRPr="00B3738A">
        <w:rPr>
          <w:rFonts w:ascii="Arial" w:hAnsi="Arial" w:cs="Arial"/>
          <w:sz w:val="20"/>
          <w:szCs w:val="20"/>
        </w:rPr>
        <w:t xml:space="preserve">discuss </w:t>
      </w:r>
      <w:r w:rsidR="002E69FC">
        <w:rPr>
          <w:rFonts w:ascii="Arial" w:hAnsi="Arial" w:cs="Arial"/>
          <w:sz w:val="20"/>
          <w:szCs w:val="20"/>
        </w:rPr>
        <w:t xml:space="preserve">issues related to </w:t>
      </w:r>
      <w:r w:rsidR="00180092">
        <w:rPr>
          <w:rFonts w:ascii="Arial" w:hAnsi="Arial" w:cs="Arial"/>
          <w:sz w:val="20"/>
          <w:szCs w:val="20"/>
        </w:rPr>
        <w:t>delay-tolerant retransmission mechanisms in NTN</w:t>
      </w:r>
      <w:r w:rsidR="0053334B" w:rsidRPr="00B3738A">
        <w:rPr>
          <w:rFonts w:ascii="Arial" w:hAnsi="Arial" w:cs="Arial"/>
          <w:sz w:val="20"/>
          <w:szCs w:val="20"/>
        </w:rPr>
        <w:t xml:space="preserve">. </w:t>
      </w:r>
      <w:r w:rsidR="00D6223C" w:rsidRPr="00B3738A">
        <w:rPr>
          <w:rFonts w:ascii="Arial" w:hAnsi="Arial" w:cs="Arial"/>
          <w:sz w:val="20"/>
          <w:szCs w:val="20"/>
        </w:rPr>
        <w:t>W</w:t>
      </w:r>
      <w:r w:rsidR="009F06A5" w:rsidRPr="00B3738A">
        <w:rPr>
          <w:rFonts w:ascii="Arial" w:hAnsi="Arial" w:cs="Arial"/>
          <w:sz w:val="20"/>
          <w:szCs w:val="20"/>
        </w:rPr>
        <w:t>e made the following observations:</w:t>
      </w:r>
      <w:r w:rsidR="009F06A5" w:rsidRPr="00B3738A">
        <w:rPr>
          <w:rFonts w:ascii="Arial" w:hAnsi="Arial" w:cs="Arial"/>
          <w:b/>
          <w:bCs/>
          <w:sz w:val="20"/>
          <w:szCs w:val="20"/>
        </w:rPr>
        <w:t xml:space="preserve"> </w:t>
      </w:r>
    </w:p>
    <w:p w14:paraId="5BB1BA95" w14:textId="77777777" w:rsidR="009E369A" w:rsidRDefault="009F06A5">
      <w:pPr>
        <w:pStyle w:val="TableofFigures"/>
        <w:tabs>
          <w:tab w:val="right" w:leader="dot" w:pos="9629"/>
        </w:tabs>
        <w:rPr>
          <w:rFonts w:asciiTheme="minorHAnsi" w:eastAsiaTheme="minorEastAsia" w:hAnsiTheme="minorHAnsi"/>
          <w:b w:val="0"/>
          <w:noProof/>
        </w:rPr>
      </w:pPr>
      <w:r w:rsidRPr="00B3738A">
        <w:rPr>
          <w:b w:val="0"/>
          <w:bCs/>
          <w:sz w:val="20"/>
          <w:szCs w:val="20"/>
        </w:rPr>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16841864" w:history="1">
        <w:r w:rsidR="009E369A" w:rsidRPr="003A3E18">
          <w:rPr>
            <w:rStyle w:val="Hyperlink"/>
            <w:noProof/>
          </w:rPr>
          <w:t>Observation 1</w:t>
        </w:r>
        <w:r w:rsidR="009E369A">
          <w:rPr>
            <w:rFonts w:asciiTheme="minorHAnsi" w:eastAsiaTheme="minorEastAsia" w:hAnsiTheme="minorHAnsi"/>
            <w:b w:val="0"/>
            <w:noProof/>
          </w:rPr>
          <w:tab/>
        </w:r>
        <w:r w:rsidR="009E369A" w:rsidRPr="003A3E18">
          <w:rPr>
            <w:rStyle w:val="Hyperlink"/>
            <w:noProof/>
          </w:rPr>
          <w:t>Satellite RTT may result in throughput loss when HARQ is enabled and the number of HARQ processes is not sufficient to absorb the RTT.</w:t>
        </w:r>
      </w:hyperlink>
    </w:p>
    <w:p w14:paraId="4C4FC36A" w14:textId="77777777" w:rsidR="009E369A" w:rsidRDefault="00B63984">
      <w:pPr>
        <w:pStyle w:val="TableofFigures"/>
        <w:tabs>
          <w:tab w:val="right" w:leader="dot" w:pos="9629"/>
        </w:tabs>
        <w:rPr>
          <w:rFonts w:asciiTheme="minorHAnsi" w:eastAsiaTheme="minorEastAsia" w:hAnsiTheme="minorHAnsi"/>
          <w:b w:val="0"/>
          <w:noProof/>
        </w:rPr>
      </w:pPr>
      <w:hyperlink w:anchor="_Toc16841865" w:history="1">
        <w:r w:rsidR="009E369A" w:rsidRPr="003A3E18">
          <w:rPr>
            <w:rStyle w:val="Hyperlink"/>
            <w:noProof/>
          </w:rPr>
          <w:t>Observation 2</w:t>
        </w:r>
        <w:r w:rsidR="009E369A">
          <w:rPr>
            <w:rFonts w:asciiTheme="minorHAnsi" w:eastAsiaTheme="minorEastAsia" w:hAnsiTheme="minorHAnsi"/>
            <w:b w:val="0"/>
            <w:noProof/>
          </w:rPr>
          <w:tab/>
        </w:r>
        <w:r w:rsidR="009E369A" w:rsidRPr="003A3E18">
          <w:rPr>
            <w:rStyle w:val="Hyperlink"/>
            <w:noProof/>
          </w:rPr>
          <w:t>Enabling HARQ is beneficial for providing reliability and coverage and is desirable for signaling and for short transmissions where coverage may be of higher importance than data rates.</w:t>
        </w:r>
      </w:hyperlink>
    </w:p>
    <w:p w14:paraId="2B0898D1" w14:textId="77777777" w:rsidR="009E369A" w:rsidRDefault="00B63984">
      <w:pPr>
        <w:pStyle w:val="TableofFigures"/>
        <w:tabs>
          <w:tab w:val="right" w:leader="dot" w:pos="9629"/>
        </w:tabs>
        <w:rPr>
          <w:rFonts w:asciiTheme="minorHAnsi" w:eastAsiaTheme="minorEastAsia" w:hAnsiTheme="minorHAnsi"/>
          <w:b w:val="0"/>
          <w:noProof/>
        </w:rPr>
      </w:pPr>
      <w:hyperlink w:anchor="_Toc16841866" w:history="1">
        <w:r w:rsidR="009E369A" w:rsidRPr="003A3E18">
          <w:rPr>
            <w:rStyle w:val="Hyperlink"/>
            <w:noProof/>
          </w:rPr>
          <w:t>Observation 3</w:t>
        </w:r>
        <w:r w:rsidR="009E369A">
          <w:rPr>
            <w:rFonts w:asciiTheme="minorHAnsi" w:eastAsiaTheme="minorEastAsia" w:hAnsiTheme="minorHAnsi"/>
            <w:b w:val="0"/>
            <w:noProof/>
          </w:rPr>
          <w:tab/>
        </w:r>
        <w:r w:rsidR="009E369A" w:rsidRPr="003A3E18">
          <w:rPr>
            <w:rStyle w:val="Hyperlink"/>
            <w:noProof/>
          </w:rPr>
          <w:t>For backward compatibility, the HARQ process ID field in fallback DCI 0_0/1_0 should not be extended to accommodate more than 16 HARQ processes.</w:t>
        </w:r>
      </w:hyperlink>
    </w:p>
    <w:p w14:paraId="03DB6591" w14:textId="77777777" w:rsidR="009E369A" w:rsidRDefault="00B63984">
      <w:pPr>
        <w:pStyle w:val="TableofFigures"/>
        <w:tabs>
          <w:tab w:val="right" w:leader="dot" w:pos="9629"/>
        </w:tabs>
        <w:rPr>
          <w:rFonts w:asciiTheme="minorHAnsi" w:eastAsiaTheme="minorEastAsia" w:hAnsiTheme="minorHAnsi"/>
          <w:b w:val="0"/>
          <w:noProof/>
        </w:rPr>
      </w:pPr>
      <w:hyperlink w:anchor="_Toc16841867" w:history="1">
        <w:r w:rsidR="009E369A" w:rsidRPr="003A3E18">
          <w:rPr>
            <w:rStyle w:val="Hyperlink"/>
            <w:noProof/>
          </w:rPr>
          <w:t>Observation 4</w:t>
        </w:r>
        <w:r w:rsidR="009E369A">
          <w:rPr>
            <w:rFonts w:asciiTheme="minorHAnsi" w:eastAsiaTheme="minorEastAsia" w:hAnsiTheme="minorHAnsi"/>
            <w:b w:val="0"/>
            <w:noProof/>
          </w:rPr>
          <w:tab/>
        </w:r>
        <w:r w:rsidR="009E369A" w:rsidRPr="003A3E18">
          <w:rPr>
            <w:rStyle w:val="Hyperlink"/>
            <w:noProof/>
          </w:rPr>
          <w:t>Non-fallback DCI is generally configurable and thus there is a possibility to extend the DCI to support more than 16 HARQ processes.</w:t>
        </w:r>
      </w:hyperlink>
    </w:p>
    <w:p w14:paraId="12D424C6" w14:textId="77777777" w:rsidR="009E369A" w:rsidRDefault="00B63984">
      <w:pPr>
        <w:pStyle w:val="TableofFigures"/>
        <w:tabs>
          <w:tab w:val="right" w:leader="dot" w:pos="9629"/>
        </w:tabs>
        <w:rPr>
          <w:rFonts w:asciiTheme="minorHAnsi" w:eastAsiaTheme="minorEastAsia" w:hAnsiTheme="minorHAnsi"/>
          <w:b w:val="0"/>
          <w:noProof/>
        </w:rPr>
      </w:pPr>
      <w:hyperlink w:anchor="_Toc16841868" w:history="1">
        <w:r w:rsidR="009E369A" w:rsidRPr="003A3E18">
          <w:rPr>
            <w:rStyle w:val="Hyperlink"/>
            <w:noProof/>
          </w:rPr>
          <w:t>Observation 5</w:t>
        </w:r>
        <w:r w:rsidR="009E369A">
          <w:rPr>
            <w:rFonts w:asciiTheme="minorHAnsi" w:eastAsiaTheme="minorEastAsia" w:hAnsiTheme="minorHAnsi"/>
            <w:b w:val="0"/>
            <w:noProof/>
          </w:rPr>
          <w:tab/>
        </w:r>
        <w:r w:rsidR="009E369A" w:rsidRPr="003A3E18">
          <w:rPr>
            <w:rStyle w:val="Hyperlink"/>
            <w:noProof/>
          </w:rPr>
          <w:t>Soft buffer size may not necessarily have a linear relationship to the number of HARQ processes. Details of soft buffer dimensioning are up to UE implementation.</w:t>
        </w:r>
      </w:hyperlink>
    </w:p>
    <w:p w14:paraId="6F938323" w14:textId="77777777" w:rsidR="009E369A" w:rsidRDefault="00B63984">
      <w:pPr>
        <w:pStyle w:val="TableofFigures"/>
        <w:tabs>
          <w:tab w:val="right" w:leader="dot" w:pos="9629"/>
        </w:tabs>
        <w:rPr>
          <w:rFonts w:asciiTheme="minorHAnsi" w:eastAsiaTheme="minorEastAsia" w:hAnsiTheme="minorHAnsi"/>
          <w:b w:val="0"/>
          <w:noProof/>
        </w:rPr>
      </w:pPr>
      <w:hyperlink w:anchor="_Toc16841869" w:history="1">
        <w:r w:rsidR="009E369A" w:rsidRPr="003A3E18">
          <w:rPr>
            <w:rStyle w:val="Hyperlink"/>
            <w:noProof/>
          </w:rPr>
          <w:t>Observation 6</w:t>
        </w:r>
        <w:r w:rsidR="009E369A">
          <w:rPr>
            <w:rFonts w:asciiTheme="minorHAnsi" w:eastAsiaTheme="minorEastAsia" w:hAnsiTheme="minorHAnsi"/>
            <w:b w:val="0"/>
            <w:noProof/>
          </w:rPr>
          <w:tab/>
        </w:r>
        <w:r w:rsidR="009E369A" w:rsidRPr="003A3E18">
          <w:rPr>
            <w:rStyle w:val="Hyperlink"/>
            <w:noProof/>
          </w:rPr>
          <w:t>T</w:t>
        </w:r>
        <w:r w:rsidR="009E369A" w:rsidRPr="003A3E18">
          <w:rPr>
            <w:rStyle w:val="Hyperlink"/>
            <w:rFonts w:eastAsia="Times New Roman" w:cs="Arial"/>
            <w:noProof/>
          </w:rPr>
          <w:t>he theoretical highest throughput that an NR UE can support, which typically corresponds to the configuration involving the largest bandwidth, maximum resource allocation, highest MCS with maximum MIMO layers, may not be applicable to NTN.</w:t>
        </w:r>
      </w:hyperlink>
    </w:p>
    <w:p w14:paraId="091AD34C" w14:textId="77777777" w:rsidR="009E369A" w:rsidRDefault="00B63984">
      <w:pPr>
        <w:pStyle w:val="TableofFigures"/>
        <w:tabs>
          <w:tab w:val="right" w:leader="dot" w:pos="9629"/>
        </w:tabs>
        <w:rPr>
          <w:rFonts w:asciiTheme="minorHAnsi" w:eastAsiaTheme="minorEastAsia" w:hAnsiTheme="minorHAnsi"/>
          <w:b w:val="0"/>
          <w:noProof/>
        </w:rPr>
      </w:pPr>
      <w:hyperlink w:anchor="_Toc16841870" w:history="1">
        <w:r w:rsidR="009E369A" w:rsidRPr="003A3E18">
          <w:rPr>
            <w:rStyle w:val="Hyperlink"/>
            <w:noProof/>
          </w:rPr>
          <w:t>Observation 7</w:t>
        </w:r>
        <w:r w:rsidR="009E369A">
          <w:rPr>
            <w:rFonts w:asciiTheme="minorHAnsi" w:eastAsiaTheme="minorEastAsia" w:hAnsiTheme="minorHAnsi"/>
            <w:b w:val="0"/>
            <w:noProof/>
          </w:rPr>
          <w:tab/>
        </w:r>
        <w:r w:rsidR="009E369A" w:rsidRPr="003A3E18">
          <w:rPr>
            <w:rStyle w:val="Hyperlink"/>
            <w:rFonts w:eastAsia="Times New Roman" w:cs="Arial"/>
            <w:noProof/>
          </w:rPr>
          <w:t>The maximum TBS sizes in NTN scenarios are 5-20 times smaller when compared to the corresponding TBS</w:t>
        </w:r>
        <w:r w:rsidR="009E369A" w:rsidRPr="003A3E18">
          <w:rPr>
            <w:rStyle w:val="Hyperlink"/>
            <w:rFonts w:eastAsia="Times New Roman" w:cs="Arial"/>
            <w:noProof/>
            <w:vertAlign w:val="subscript"/>
          </w:rPr>
          <w:t>LBRM</w:t>
        </w:r>
        <w:r w:rsidR="009E369A" w:rsidRPr="003A3E18">
          <w:rPr>
            <w:rStyle w:val="Hyperlink"/>
            <w:rFonts w:eastAsia="Times New Roman" w:cs="Arial"/>
            <w:noProof/>
          </w:rPr>
          <w:t xml:space="preserve"> for a given number of scheduled PRBs.</w:t>
        </w:r>
      </w:hyperlink>
    </w:p>
    <w:p w14:paraId="3FD31450" w14:textId="7C080B98"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B3738A" w:rsidRDefault="009F06A5" w:rsidP="009F06A5">
      <w:pPr>
        <w:pStyle w:val="BodyText"/>
        <w:rPr>
          <w:sz w:val="20"/>
          <w:szCs w:val="20"/>
        </w:rPr>
      </w:pPr>
      <w:r w:rsidRPr="00B3738A">
        <w:rPr>
          <w:sz w:val="20"/>
          <w:szCs w:val="20"/>
        </w:rPr>
        <w:t>Based on the discussion in the previous sections we propose the following:</w:t>
      </w:r>
    </w:p>
    <w:p w14:paraId="416F9757" w14:textId="77777777" w:rsidR="009E369A" w:rsidRDefault="009F06A5">
      <w:pPr>
        <w:pStyle w:val="TableofFigures"/>
        <w:tabs>
          <w:tab w:val="right" w:leader="dot" w:pos="9629"/>
        </w:tabs>
        <w:rPr>
          <w:rFonts w:asciiTheme="minorHAnsi" w:eastAsiaTheme="minorEastAsia" w:hAnsiTheme="minorHAnsi"/>
          <w:b w:val="0"/>
          <w:noProof/>
        </w:rPr>
      </w:pPr>
      <w:r w:rsidRPr="00B3738A">
        <w:rPr>
          <w:b w:val="0"/>
          <w:bCs/>
          <w:sz w:val="20"/>
          <w:szCs w:val="20"/>
          <w:lang w:eastAsia="zh-CN"/>
        </w:rPr>
        <w:fldChar w:fldCharType="begin"/>
      </w:r>
      <w:r w:rsidRPr="00B3738A">
        <w:rPr>
          <w:b w:val="0"/>
          <w:bCs/>
          <w:sz w:val="20"/>
          <w:szCs w:val="20"/>
        </w:rPr>
        <w:instrText xml:space="preserve"> TOC \n \h \z \t "Proposal" \c </w:instrText>
      </w:r>
      <w:r w:rsidRPr="00B3738A">
        <w:rPr>
          <w:b w:val="0"/>
          <w:bCs/>
          <w:sz w:val="20"/>
          <w:szCs w:val="20"/>
          <w:lang w:eastAsia="zh-CN"/>
        </w:rPr>
        <w:fldChar w:fldCharType="separate"/>
      </w:r>
      <w:hyperlink w:anchor="_Toc16841871" w:history="1">
        <w:r w:rsidR="009E369A" w:rsidRPr="00142E30">
          <w:rPr>
            <w:rStyle w:val="Hyperlink"/>
            <w:noProof/>
          </w:rPr>
          <w:t>Proposal 1</w:t>
        </w:r>
        <w:r w:rsidR="009E369A">
          <w:rPr>
            <w:rFonts w:asciiTheme="minorHAnsi" w:eastAsiaTheme="minorEastAsia" w:hAnsiTheme="minorHAnsi"/>
            <w:b w:val="0"/>
            <w:noProof/>
          </w:rPr>
          <w:tab/>
        </w:r>
        <w:r w:rsidR="009E369A" w:rsidRPr="00142E30">
          <w:rPr>
            <w:rStyle w:val="Hyperlink"/>
            <w:noProof/>
          </w:rPr>
          <w:t>RAN1 to wait for further progresses in RAN2 about dynamic disabling of HARQ by gNB.</w:t>
        </w:r>
      </w:hyperlink>
    </w:p>
    <w:p w14:paraId="710DC316" w14:textId="77777777" w:rsidR="009E369A" w:rsidRDefault="00B63984">
      <w:pPr>
        <w:pStyle w:val="TableofFigures"/>
        <w:tabs>
          <w:tab w:val="right" w:leader="dot" w:pos="9629"/>
        </w:tabs>
        <w:rPr>
          <w:rFonts w:asciiTheme="minorHAnsi" w:eastAsiaTheme="minorEastAsia" w:hAnsiTheme="minorHAnsi"/>
          <w:b w:val="0"/>
          <w:noProof/>
        </w:rPr>
      </w:pPr>
      <w:hyperlink w:anchor="_Toc16841872" w:history="1">
        <w:r w:rsidR="009E369A" w:rsidRPr="00142E30">
          <w:rPr>
            <w:rStyle w:val="Hyperlink"/>
            <w:noProof/>
          </w:rPr>
          <w:t>Proposal 2</w:t>
        </w:r>
        <w:r w:rsidR="009E369A">
          <w:rPr>
            <w:rFonts w:asciiTheme="minorHAnsi" w:eastAsiaTheme="minorEastAsia" w:hAnsiTheme="minorHAnsi"/>
            <w:b w:val="0"/>
            <w:noProof/>
          </w:rPr>
          <w:tab/>
        </w:r>
        <w:r w:rsidR="009E369A" w:rsidRPr="00142E30">
          <w:rPr>
            <w:rStyle w:val="Hyperlink"/>
            <w:noProof/>
          </w:rPr>
          <w:t>If the feedback is disabled for some HARQ processes but not for the others, different transmission configurations should be applied.</w:t>
        </w:r>
      </w:hyperlink>
    </w:p>
    <w:p w14:paraId="38022512" w14:textId="77777777" w:rsidR="009E369A" w:rsidRDefault="00B63984">
      <w:pPr>
        <w:pStyle w:val="TableofFigures"/>
        <w:tabs>
          <w:tab w:val="right" w:leader="dot" w:pos="9629"/>
        </w:tabs>
        <w:rPr>
          <w:rFonts w:asciiTheme="minorHAnsi" w:eastAsiaTheme="minorEastAsia" w:hAnsiTheme="minorHAnsi"/>
          <w:b w:val="0"/>
          <w:noProof/>
        </w:rPr>
      </w:pPr>
      <w:hyperlink w:anchor="_Toc16841873" w:history="1">
        <w:r w:rsidR="009E369A" w:rsidRPr="00142E30">
          <w:rPr>
            <w:rStyle w:val="Hyperlink"/>
            <w:noProof/>
          </w:rPr>
          <w:t>Proposal 3</w:t>
        </w:r>
        <w:r w:rsidR="009E369A">
          <w:rPr>
            <w:rFonts w:asciiTheme="minorHAnsi" w:eastAsiaTheme="minorEastAsia" w:hAnsiTheme="minorHAnsi"/>
            <w:b w:val="0"/>
            <w:noProof/>
          </w:rPr>
          <w:tab/>
        </w:r>
        <w:r w:rsidR="009E369A" w:rsidRPr="00142E30">
          <w:rPr>
            <w:rStyle w:val="Hyperlink"/>
            <w:noProof/>
          </w:rPr>
          <w:t>The existing Rel-15 NR functionality should be used as the baseline for achieving lower BLER target. RAN1 to evaluate the effectiveness of the Rel-15 methods for achieving lower BLER target before any new methods are considered.</w:t>
        </w:r>
      </w:hyperlink>
    </w:p>
    <w:p w14:paraId="4554E39A" w14:textId="77777777" w:rsidR="009E369A" w:rsidRDefault="00B63984">
      <w:pPr>
        <w:pStyle w:val="TableofFigures"/>
        <w:tabs>
          <w:tab w:val="right" w:leader="dot" w:pos="9629"/>
        </w:tabs>
        <w:rPr>
          <w:rFonts w:asciiTheme="minorHAnsi" w:eastAsiaTheme="minorEastAsia" w:hAnsiTheme="minorHAnsi"/>
          <w:b w:val="0"/>
          <w:noProof/>
        </w:rPr>
      </w:pPr>
      <w:hyperlink w:anchor="_Toc16841874" w:history="1">
        <w:r w:rsidR="009E369A" w:rsidRPr="00142E30">
          <w:rPr>
            <w:rStyle w:val="Hyperlink"/>
            <w:noProof/>
          </w:rPr>
          <w:t>Proposal 4</w:t>
        </w:r>
        <w:r w:rsidR="009E369A">
          <w:rPr>
            <w:rFonts w:asciiTheme="minorHAnsi" w:eastAsiaTheme="minorEastAsia" w:hAnsiTheme="minorHAnsi"/>
            <w:b w:val="0"/>
            <w:noProof/>
          </w:rPr>
          <w:tab/>
        </w:r>
        <w:r w:rsidR="009E369A" w:rsidRPr="00142E30">
          <w:rPr>
            <w:rStyle w:val="Hyperlink"/>
            <w:rFonts w:eastAsia="Times New Roman" w:cs="Arial"/>
            <w:noProof/>
          </w:rPr>
          <w:t>Take into account the small maximum TBS sizes associated with NTN scenarios when deciding whether or not to increase the number of HARQ processes.</w:t>
        </w:r>
      </w:hyperlink>
    </w:p>
    <w:p w14:paraId="7FDB652A" w14:textId="049ACB22"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15" w:name="_In-sequence_SDU_delivery"/>
      <w:bookmarkEnd w:id="15"/>
      <w:r w:rsidRPr="00CE0424">
        <w:t>References</w:t>
      </w:r>
      <w:bookmarkStart w:id="16" w:name="_Ref510504022"/>
      <w:bookmarkStart w:id="17" w:name="_Ref510814820"/>
      <w:bookmarkStart w:id="18" w:name="_Ref174151459"/>
      <w:bookmarkStart w:id="19" w:name="_Ref189809556"/>
    </w:p>
    <w:p w14:paraId="4F9FEF26" w14:textId="789DC974" w:rsidR="003E0B74" w:rsidRDefault="00185E4A" w:rsidP="00331E4C">
      <w:pPr>
        <w:pStyle w:val="Reference"/>
        <w:rPr>
          <w:sz w:val="20"/>
          <w:szCs w:val="20"/>
        </w:rPr>
      </w:pPr>
      <w:r w:rsidRPr="00833B02">
        <w:rPr>
          <w:sz w:val="20"/>
          <w:szCs w:val="20"/>
        </w:rPr>
        <w:t>RP-1</w:t>
      </w:r>
      <w:r w:rsidR="0055306A" w:rsidRPr="00833B02">
        <w:rPr>
          <w:sz w:val="20"/>
          <w:szCs w:val="20"/>
        </w:rPr>
        <w:t>9</w:t>
      </w:r>
      <w:r w:rsidR="005379CC" w:rsidRPr="00833B02">
        <w:rPr>
          <w:sz w:val="20"/>
          <w:szCs w:val="20"/>
        </w:rPr>
        <w:t>0710</w:t>
      </w:r>
      <w:r w:rsidRPr="00833B02">
        <w:rPr>
          <w:sz w:val="20"/>
          <w:szCs w:val="20"/>
        </w:rPr>
        <w:t>, Study on solutions for NR to support non-terrestrial networks (NTN), Thales, RAN #</w:t>
      </w:r>
      <w:r w:rsidR="005379CC" w:rsidRPr="00833B02">
        <w:rPr>
          <w:sz w:val="20"/>
          <w:szCs w:val="20"/>
        </w:rPr>
        <w:t>83</w:t>
      </w:r>
      <w:r w:rsidRPr="00833B02">
        <w:rPr>
          <w:sz w:val="20"/>
          <w:szCs w:val="20"/>
        </w:rPr>
        <w:t xml:space="preserve">, </w:t>
      </w:r>
      <w:r w:rsidR="005379CC" w:rsidRPr="00833B02">
        <w:rPr>
          <w:sz w:val="20"/>
          <w:szCs w:val="20"/>
        </w:rPr>
        <w:t>Shenzhen</w:t>
      </w:r>
      <w:r w:rsidRPr="00833B02">
        <w:rPr>
          <w:sz w:val="20"/>
          <w:szCs w:val="20"/>
        </w:rPr>
        <w:t xml:space="preserve">, </w:t>
      </w:r>
      <w:r w:rsidR="005379CC" w:rsidRPr="00833B02">
        <w:rPr>
          <w:sz w:val="20"/>
          <w:szCs w:val="20"/>
        </w:rPr>
        <w:t>China</w:t>
      </w:r>
      <w:r w:rsidRPr="00833B02">
        <w:rPr>
          <w:sz w:val="20"/>
          <w:szCs w:val="20"/>
        </w:rPr>
        <w:t xml:space="preserve">, </w:t>
      </w:r>
      <w:r w:rsidR="005379CC" w:rsidRPr="00833B02">
        <w:rPr>
          <w:sz w:val="20"/>
          <w:szCs w:val="20"/>
        </w:rPr>
        <w:t>March</w:t>
      </w:r>
      <w:r w:rsidRPr="00833B02">
        <w:rPr>
          <w:sz w:val="20"/>
          <w:szCs w:val="20"/>
        </w:rPr>
        <w:t xml:space="preserve"> 201</w:t>
      </w:r>
      <w:r w:rsidR="005379CC" w:rsidRPr="00833B02">
        <w:rPr>
          <w:sz w:val="20"/>
          <w:szCs w:val="20"/>
        </w:rPr>
        <w:t>9</w:t>
      </w:r>
      <w:r w:rsidR="003E0B74">
        <w:rPr>
          <w:sz w:val="20"/>
          <w:szCs w:val="20"/>
        </w:rPr>
        <w:t>.</w:t>
      </w:r>
      <w:bookmarkEnd w:id="16"/>
      <w:bookmarkEnd w:id="17"/>
      <w:bookmarkEnd w:id="18"/>
      <w:bookmarkEnd w:id="19"/>
    </w:p>
    <w:p w14:paraId="584664F2" w14:textId="707E3A8B" w:rsidR="004D6252" w:rsidRPr="00331E4C" w:rsidRDefault="004D6252" w:rsidP="00331E4C">
      <w:pPr>
        <w:pStyle w:val="Reference"/>
        <w:rPr>
          <w:sz w:val="20"/>
          <w:szCs w:val="20"/>
        </w:rPr>
      </w:pPr>
      <w:bookmarkStart w:id="20" w:name="_Ref16587269"/>
      <w:r>
        <w:rPr>
          <w:sz w:val="20"/>
          <w:szCs w:val="20"/>
        </w:rPr>
        <w:t>R1-19</w:t>
      </w:r>
      <w:r w:rsidR="00EB4D67">
        <w:rPr>
          <w:sz w:val="20"/>
          <w:szCs w:val="20"/>
        </w:rPr>
        <w:t>09111</w:t>
      </w:r>
      <w:r>
        <w:rPr>
          <w:sz w:val="20"/>
          <w:szCs w:val="20"/>
        </w:rPr>
        <w:t>, On physical layer control procedures, Ericsson, RAN1#98.</w:t>
      </w:r>
      <w:bookmarkEnd w:id="20"/>
    </w:p>
    <w:sectPr w:rsidR="004D6252" w:rsidRPr="00331E4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059DD" w14:textId="77777777" w:rsidR="0002527C" w:rsidRDefault="0002527C">
      <w:r>
        <w:separator/>
      </w:r>
    </w:p>
  </w:endnote>
  <w:endnote w:type="continuationSeparator" w:id="0">
    <w:p w14:paraId="5C32CB5D" w14:textId="77777777" w:rsidR="0002527C" w:rsidRDefault="0002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76032" w14:textId="77777777" w:rsidR="0002527C" w:rsidRDefault="0002527C">
      <w:r>
        <w:separator/>
      </w:r>
    </w:p>
  </w:footnote>
  <w:footnote w:type="continuationSeparator" w:id="0">
    <w:p w14:paraId="0EEEB897" w14:textId="77777777" w:rsidR="0002527C" w:rsidRDefault="0002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531E2A"/>
    <w:multiLevelType w:val="hybridMultilevel"/>
    <w:tmpl w:val="E6446BBA"/>
    <w:lvl w:ilvl="0" w:tplc="AC6C41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A2646"/>
    <w:multiLevelType w:val="hybridMultilevel"/>
    <w:tmpl w:val="F38E0E80"/>
    <w:lvl w:ilvl="0" w:tplc="AC6C41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F2DB1"/>
    <w:multiLevelType w:val="hybridMultilevel"/>
    <w:tmpl w:val="1B98D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B8039A"/>
    <w:multiLevelType w:val="hybridMultilevel"/>
    <w:tmpl w:val="B00683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51493"/>
    <w:multiLevelType w:val="hybridMultilevel"/>
    <w:tmpl w:val="DD6CFC3E"/>
    <w:lvl w:ilvl="0" w:tplc="AC6C41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856A78"/>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D020D"/>
    <w:multiLevelType w:val="hybridMultilevel"/>
    <w:tmpl w:val="991A14CC"/>
    <w:lvl w:ilvl="0" w:tplc="56440016">
      <w:start w:val="1"/>
      <w:numFmt w:val="bullet"/>
      <w:lvlText w:val="—"/>
      <w:lvlJc w:val="left"/>
      <w:pPr>
        <w:tabs>
          <w:tab w:val="num" w:pos="720"/>
        </w:tabs>
        <w:ind w:left="720" w:hanging="360"/>
      </w:pPr>
      <w:rPr>
        <w:rFonts w:ascii="Ericsson Hilda Light" w:hAnsi="Ericsson Hilda Light" w:hint="default"/>
      </w:rPr>
    </w:lvl>
    <w:lvl w:ilvl="1" w:tplc="B9B257A6">
      <w:start w:val="1"/>
      <w:numFmt w:val="bullet"/>
      <w:lvlText w:val="—"/>
      <w:lvlJc w:val="left"/>
      <w:pPr>
        <w:tabs>
          <w:tab w:val="num" w:pos="1440"/>
        </w:tabs>
        <w:ind w:left="1440" w:hanging="360"/>
      </w:pPr>
      <w:rPr>
        <w:rFonts w:ascii="Ericsson Hilda Light" w:hAnsi="Ericsson Hilda Light" w:hint="default"/>
      </w:rPr>
    </w:lvl>
    <w:lvl w:ilvl="2" w:tplc="F5D6B53E">
      <w:start w:val="1"/>
      <w:numFmt w:val="bullet"/>
      <w:lvlText w:val="—"/>
      <w:lvlJc w:val="left"/>
      <w:pPr>
        <w:tabs>
          <w:tab w:val="num" w:pos="2160"/>
        </w:tabs>
        <w:ind w:left="2160" w:hanging="360"/>
      </w:pPr>
      <w:rPr>
        <w:rFonts w:ascii="Ericsson Hilda Light" w:hAnsi="Ericsson Hilda Light" w:hint="default"/>
      </w:rPr>
    </w:lvl>
    <w:lvl w:ilvl="3" w:tplc="7F7C2A7C">
      <w:start w:val="1"/>
      <w:numFmt w:val="bullet"/>
      <w:lvlText w:val="—"/>
      <w:lvlJc w:val="left"/>
      <w:pPr>
        <w:tabs>
          <w:tab w:val="num" w:pos="2880"/>
        </w:tabs>
        <w:ind w:left="2880" w:hanging="360"/>
      </w:pPr>
      <w:rPr>
        <w:rFonts w:ascii="Ericsson Hilda Light" w:hAnsi="Ericsson Hilda Light" w:hint="default"/>
      </w:rPr>
    </w:lvl>
    <w:lvl w:ilvl="4" w:tplc="5F966EC8">
      <w:start w:val="1"/>
      <w:numFmt w:val="bullet"/>
      <w:lvlText w:val="—"/>
      <w:lvlJc w:val="left"/>
      <w:pPr>
        <w:tabs>
          <w:tab w:val="num" w:pos="3600"/>
        </w:tabs>
        <w:ind w:left="3600" w:hanging="360"/>
      </w:pPr>
      <w:rPr>
        <w:rFonts w:ascii="Ericsson Hilda Light" w:hAnsi="Ericsson Hilda Light" w:hint="default"/>
      </w:rPr>
    </w:lvl>
    <w:lvl w:ilvl="5" w:tplc="5128F5E6">
      <w:start w:val="1"/>
      <w:numFmt w:val="bullet"/>
      <w:lvlText w:val="—"/>
      <w:lvlJc w:val="left"/>
      <w:pPr>
        <w:tabs>
          <w:tab w:val="num" w:pos="4320"/>
        </w:tabs>
        <w:ind w:left="4320" w:hanging="360"/>
      </w:pPr>
      <w:rPr>
        <w:rFonts w:ascii="Ericsson Hilda Light" w:hAnsi="Ericsson Hilda Light" w:hint="default"/>
      </w:rPr>
    </w:lvl>
    <w:lvl w:ilvl="6" w:tplc="2C26105A">
      <w:start w:val="1"/>
      <w:numFmt w:val="bullet"/>
      <w:lvlText w:val="—"/>
      <w:lvlJc w:val="left"/>
      <w:pPr>
        <w:tabs>
          <w:tab w:val="num" w:pos="5040"/>
        </w:tabs>
        <w:ind w:left="5040" w:hanging="360"/>
      </w:pPr>
      <w:rPr>
        <w:rFonts w:ascii="Ericsson Hilda Light" w:hAnsi="Ericsson Hilda Light" w:hint="default"/>
      </w:rPr>
    </w:lvl>
    <w:lvl w:ilvl="7" w:tplc="A55C223C">
      <w:start w:val="1"/>
      <w:numFmt w:val="bullet"/>
      <w:lvlText w:val="—"/>
      <w:lvlJc w:val="left"/>
      <w:pPr>
        <w:tabs>
          <w:tab w:val="num" w:pos="5760"/>
        </w:tabs>
        <w:ind w:left="5760" w:hanging="360"/>
      </w:pPr>
      <w:rPr>
        <w:rFonts w:ascii="Ericsson Hilda Light" w:hAnsi="Ericsson Hilda Light" w:hint="default"/>
      </w:rPr>
    </w:lvl>
    <w:lvl w:ilvl="8" w:tplc="A628E70A">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D54524"/>
    <w:multiLevelType w:val="hybridMultilevel"/>
    <w:tmpl w:val="4C54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F2607E"/>
    <w:multiLevelType w:val="hybridMultilevel"/>
    <w:tmpl w:val="3D06698C"/>
    <w:lvl w:ilvl="0" w:tplc="AC6C41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731BE"/>
    <w:multiLevelType w:val="hybridMultilevel"/>
    <w:tmpl w:val="150E082A"/>
    <w:lvl w:ilvl="0" w:tplc="AC6C41B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0"/>
  </w:num>
  <w:num w:numId="4">
    <w:abstractNumId w:val="22"/>
  </w:num>
  <w:num w:numId="5">
    <w:abstractNumId w:val="23"/>
  </w:num>
  <w:num w:numId="6">
    <w:abstractNumId w:val="27"/>
  </w:num>
  <w:num w:numId="7">
    <w:abstractNumId w:val="7"/>
  </w:num>
  <w:num w:numId="8">
    <w:abstractNumId w:val="9"/>
  </w:num>
  <w:num w:numId="9">
    <w:abstractNumId w:val="4"/>
  </w:num>
  <w:num w:numId="10">
    <w:abstractNumId w:val="35"/>
  </w:num>
  <w:num w:numId="11">
    <w:abstractNumId w:val="14"/>
  </w:num>
  <w:num w:numId="12">
    <w:abstractNumId w:val="32"/>
  </w:num>
  <w:num w:numId="13">
    <w:abstractNumId w:val="12"/>
  </w:num>
  <w:num w:numId="14">
    <w:abstractNumId w:val="21"/>
  </w:num>
  <w:num w:numId="15">
    <w:abstractNumId w:val="29"/>
  </w:num>
  <w:num w:numId="16">
    <w:abstractNumId w:val="2"/>
  </w:num>
  <w:num w:numId="17">
    <w:abstractNumId w:val="19"/>
  </w:num>
  <w:num w:numId="18">
    <w:abstractNumId w:val="13"/>
  </w:num>
  <w:num w:numId="19">
    <w:abstractNumId w:val="11"/>
  </w:num>
  <w:num w:numId="20">
    <w:abstractNumId w:val="33"/>
  </w:num>
  <w:num w:numId="21">
    <w:abstractNumId w:val="10"/>
  </w:num>
  <w:num w:numId="22">
    <w:abstractNumId w:val="26"/>
  </w:num>
  <w:num w:numId="23">
    <w:abstractNumId w:val="15"/>
  </w:num>
  <w:num w:numId="24">
    <w:abstractNumId w:val="24"/>
  </w:num>
  <w:num w:numId="25">
    <w:abstractNumId w:val="28"/>
  </w:num>
  <w:num w:numId="26">
    <w:abstractNumId w:val="5"/>
  </w:num>
  <w:num w:numId="27">
    <w:abstractNumId w:val="6"/>
  </w:num>
  <w:num w:numId="28">
    <w:abstractNumId w:val="18"/>
  </w:num>
  <w:num w:numId="29">
    <w:abstractNumId w:val="1"/>
  </w:num>
  <w:num w:numId="30">
    <w:abstractNumId w:val="31"/>
  </w:num>
  <w:num w:numId="31">
    <w:abstractNumId w:val="1"/>
  </w:num>
  <w:num w:numId="32">
    <w:abstractNumId w:val="37"/>
  </w:num>
  <w:num w:numId="33">
    <w:abstractNumId w:val="36"/>
  </w:num>
  <w:num w:numId="34">
    <w:abstractNumId w:val="25"/>
  </w:num>
  <w:num w:numId="35">
    <w:abstractNumId w:val="3"/>
  </w:num>
  <w:num w:numId="36">
    <w:abstractNumId w:val="30"/>
  </w:num>
  <w:num w:numId="37">
    <w:abstractNumId w:val="34"/>
  </w:num>
  <w:num w:numId="38">
    <w:abstractNumId w:val="16"/>
  </w:num>
  <w:num w:numId="3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43F0"/>
    <w:rsid w:val="00015CC2"/>
    <w:rsid w:val="00015D15"/>
    <w:rsid w:val="00021340"/>
    <w:rsid w:val="0002527C"/>
    <w:rsid w:val="0002564D"/>
    <w:rsid w:val="00025ECA"/>
    <w:rsid w:val="000325B8"/>
    <w:rsid w:val="00033A33"/>
    <w:rsid w:val="00034C15"/>
    <w:rsid w:val="00036BA1"/>
    <w:rsid w:val="000422E2"/>
    <w:rsid w:val="000428E8"/>
    <w:rsid w:val="00042F22"/>
    <w:rsid w:val="00043A70"/>
    <w:rsid w:val="000440A2"/>
    <w:rsid w:val="000444EF"/>
    <w:rsid w:val="00044C67"/>
    <w:rsid w:val="00052781"/>
    <w:rsid w:val="000528DC"/>
    <w:rsid w:val="00052A07"/>
    <w:rsid w:val="000534E3"/>
    <w:rsid w:val="0005406E"/>
    <w:rsid w:val="0005606A"/>
    <w:rsid w:val="00057117"/>
    <w:rsid w:val="0005731D"/>
    <w:rsid w:val="0006060C"/>
    <w:rsid w:val="000616E7"/>
    <w:rsid w:val="0006487E"/>
    <w:rsid w:val="0006535A"/>
    <w:rsid w:val="00065E1A"/>
    <w:rsid w:val="00070704"/>
    <w:rsid w:val="0007155D"/>
    <w:rsid w:val="0007253F"/>
    <w:rsid w:val="000738AC"/>
    <w:rsid w:val="000748AA"/>
    <w:rsid w:val="00077468"/>
    <w:rsid w:val="00077E5F"/>
    <w:rsid w:val="0008036A"/>
    <w:rsid w:val="00081160"/>
    <w:rsid w:val="0008193D"/>
    <w:rsid w:val="00081AE6"/>
    <w:rsid w:val="000855EB"/>
    <w:rsid w:val="00085B52"/>
    <w:rsid w:val="000866F2"/>
    <w:rsid w:val="0009009F"/>
    <w:rsid w:val="00091557"/>
    <w:rsid w:val="000924C1"/>
    <w:rsid w:val="000924F0"/>
    <w:rsid w:val="00093474"/>
    <w:rsid w:val="0009370F"/>
    <w:rsid w:val="00093C5C"/>
    <w:rsid w:val="0009510F"/>
    <w:rsid w:val="000A1B7B"/>
    <w:rsid w:val="000A5107"/>
    <w:rsid w:val="000A56F2"/>
    <w:rsid w:val="000A580C"/>
    <w:rsid w:val="000B078B"/>
    <w:rsid w:val="000B2719"/>
    <w:rsid w:val="000B3A8F"/>
    <w:rsid w:val="000B4AB9"/>
    <w:rsid w:val="000B58C3"/>
    <w:rsid w:val="000B5B4E"/>
    <w:rsid w:val="000B61E9"/>
    <w:rsid w:val="000B71EB"/>
    <w:rsid w:val="000B7D7D"/>
    <w:rsid w:val="000C165A"/>
    <w:rsid w:val="000C2E19"/>
    <w:rsid w:val="000C3550"/>
    <w:rsid w:val="000C3C55"/>
    <w:rsid w:val="000C4F3E"/>
    <w:rsid w:val="000C51EC"/>
    <w:rsid w:val="000C5BC4"/>
    <w:rsid w:val="000C6F25"/>
    <w:rsid w:val="000C72EF"/>
    <w:rsid w:val="000C7772"/>
    <w:rsid w:val="000C7A3B"/>
    <w:rsid w:val="000C7E89"/>
    <w:rsid w:val="000D0D07"/>
    <w:rsid w:val="000D1D8E"/>
    <w:rsid w:val="000D3D4C"/>
    <w:rsid w:val="000D4797"/>
    <w:rsid w:val="000D614F"/>
    <w:rsid w:val="000D7F1F"/>
    <w:rsid w:val="000E0527"/>
    <w:rsid w:val="000E1E92"/>
    <w:rsid w:val="000E369D"/>
    <w:rsid w:val="000E36AB"/>
    <w:rsid w:val="000E4D9D"/>
    <w:rsid w:val="000E5128"/>
    <w:rsid w:val="000F06D6"/>
    <w:rsid w:val="000F0EB1"/>
    <w:rsid w:val="000F1106"/>
    <w:rsid w:val="000F258F"/>
    <w:rsid w:val="000F30DE"/>
    <w:rsid w:val="000F36A4"/>
    <w:rsid w:val="000F3BE9"/>
    <w:rsid w:val="000F3F6C"/>
    <w:rsid w:val="000F6134"/>
    <w:rsid w:val="000F6DF3"/>
    <w:rsid w:val="001005FF"/>
    <w:rsid w:val="00102E1D"/>
    <w:rsid w:val="001054AB"/>
    <w:rsid w:val="00105EE7"/>
    <w:rsid w:val="001062FB"/>
    <w:rsid w:val="001063E6"/>
    <w:rsid w:val="0010686F"/>
    <w:rsid w:val="00110F40"/>
    <w:rsid w:val="00113CF4"/>
    <w:rsid w:val="00114AE3"/>
    <w:rsid w:val="001153EA"/>
    <w:rsid w:val="00115643"/>
    <w:rsid w:val="00116765"/>
    <w:rsid w:val="0011691C"/>
    <w:rsid w:val="00116CD0"/>
    <w:rsid w:val="00117814"/>
    <w:rsid w:val="00120AD4"/>
    <w:rsid w:val="001219F5"/>
    <w:rsid w:val="00121A20"/>
    <w:rsid w:val="0012278F"/>
    <w:rsid w:val="0012377F"/>
    <w:rsid w:val="00124314"/>
    <w:rsid w:val="00126681"/>
    <w:rsid w:val="00126B4A"/>
    <w:rsid w:val="00132FD0"/>
    <w:rsid w:val="00133DD3"/>
    <w:rsid w:val="00133F6C"/>
    <w:rsid w:val="001344C0"/>
    <w:rsid w:val="001346FA"/>
    <w:rsid w:val="00135252"/>
    <w:rsid w:val="001373F8"/>
    <w:rsid w:val="00137AB5"/>
    <w:rsid w:val="00137F0B"/>
    <w:rsid w:val="00146CB5"/>
    <w:rsid w:val="00150BAD"/>
    <w:rsid w:val="00151E23"/>
    <w:rsid w:val="001526E0"/>
    <w:rsid w:val="001551B5"/>
    <w:rsid w:val="0016097D"/>
    <w:rsid w:val="00161575"/>
    <w:rsid w:val="00161C21"/>
    <w:rsid w:val="001639D9"/>
    <w:rsid w:val="00163DF4"/>
    <w:rsid w:val="001659C1"/>
    <w:rsid w:val="00172880"/>
    <w:rsid w:val="00173A8E"/>
    <w:rsid w:val="0017502C"/>
    <w:rsid w:val="00180092"/>
    <w:rsid w:val="00180BFA"/>
    <w:rsid w:val="0018143F"/>
    <w:rsid w:val="001818DE"/>
    <w:rsid w:val="00181FF8"/>
    <w:rsid w:val="00184BC0"/>
    <w:rsid w:val="00185E4A"/>
    <w:rsid w:val="00190AC1"/>
    <w:rsid w:val="00190CF6"/>
    <w:rsid w:val="001922EE"/>
    <w:rsid w:val="0019341A"/>
    <w:rsid w:val="00197DF9"/>
    <w:rsid w:val="001A1987"/>
    <w:rsid w:val="001A2564"/>
    <w:rsid w:val="001A29D7"/>
    <w:rsid w:val="001A5A7B"/>
    <w:rsid w:val="001A5C53"/>
    <w:rsid w:val="001A5F42"/>
    <w:rsid w:val="001A6173"/>
    <w:rsid w:val="001A68CD"/>
    <w:rsid w:val="001A6CBA"/>
    <w:rsid w:val="001B0D97"/>
    <w:rsid w:val="001B15CB"/>
    <w:rsid w:val="001B2D95"/>
    <w:rsid w:val="001B5A5D"/>
    <w:rsid w:val="001B7CC2"/>
    <w:rsid w:val="001C1CE5"/>
    <w:rsid w:val="001C3D2A"/>
    <w:rsid w:val="001C3DC9"/>
    <w:rsid w:val="001C6F26"/>
    <w:rsid w:val="001D09D0"/>
    <w:rsid w:val="001D17C6"/>
    <w:rsid w:val="001D51BA"/>
    <w:rsid w:val="001D53E7"/>
    <w:rsid w:val="001D6342"/>
    <w:rsid w:val="001D6D53"/>
    <w:rsid w:val="001D781B"/>
    <w:rsid w:val="001E03CA"/>
    <w:rsid w:val="001E1624"/>
    <w:rsid w:val="001E3FB6"/>
    <w:rsid w:val="001E58E2"/>
    <w:rsid w:val="001E7AED"/>
    <w:rsid w:val="001F2F37"/>
    <w:rsid w:val="001F3916"/>
    <w:rsid w:val="001F4B43"/>
    <w:rsid w:val="001F54C5"/>
    <w:rsid w:val="001F662C"/>
    <w:rsid w:val="001F7074"/>
    <w:rsid w:val="001F764B"/>
    <w:rsid w:val="00200400"/>
    <w:rsid w:val="00200490"/>
    <w:rsid w:val="002014DD"/>
    <w:rsid w:val="00201F3A"/>
    <w:rsid w:val="00203959"/>
    <w:rsid w:val="00203F96"/>
    <w:rsid w:val="002069B2"/>
    <w:rsid w:val="00207C8E"/>
    <w:rsid w:val="00207FA3"/>
    <w:rsid w:val="00211B9C"/>
    <w:rsid w:val="00214DA8"/>
    <w:rsid w:val="00215423"/>
    <w:rsid w:val="002158FA"/>
    <w:rsid w:val="00217921"/>
    <w:rsid w:val="00220600"/>
    <w:rsid w:val="002214D6"/>
    <w:rsid w:val="002224DB"/>
    <w:rsid w:val="00223FCB"/>
    <w:rsid w:val="002252C3"/>
    <w:rsid w:val="00225C54"/>
    <w:rsid w:val="0022614E"/>
    <w:rsid w:val="00227475"/>
    <w:rsid w:val="00230765"/>
    <w:rsid w:val="00230D18"/>
    <w:rsid w:val="002312FC"/>
    <w:rsid w:val="002319E4"/>
    <w:rsid w:val="00232DC9"/>
    <w:rsid w:val="002335AF"/>
    <w:rsid w:val="002338B3"/>
    <w:rsid w:val="002338C7"/>
    <w:rsid w:val="00234EFA"/>
    <w:rsid w:val="00235632"/>
    <w:rsid w:val="00235872"/>
    <w:rsid w:val="002378FA"/>
    <w:rsid w:val="002403E6"/>
    <w:rsid w:val="00240BB4"/>
    <w:rsid w:val="00241559"/>
    <w:rsid w:val="002435B3"/>
    <w:rsid w:val="002458EB"/>
    <w:rsid w:val="002500C8"/>
    <w:rsid w:val="00250D43"/>
    <w:rsid w:val="00251882"/>
    <w:rsid w:val="00252826"/>
    <w:rsid w:val="00256209"/>
    <w:rsid w:val="00257543"/>
    <w:rsid w:val="002617E7"/>
    <w:rsid w:val="00262BCE"/>
    <w:rsid w:val="00264228"/>
    <w:rsid w:val="00264334"/>
    <w:rsid w:val="0026473E"/>
    <w:rsid w:val="00266214"/>
    <w:rsid w:val="00267C83"/>
    <w:rsid w:val="00270874"/>
    <w:rsid w:val="0027144F"/>
    <w:rsid w:val="00271813"/>
    <w:rsid w:val="00271F3A"/>
    <w:rsid w:val="00273278"/>
    <w:rsid w:val="002737F4"/>
    <w:rsid w:val="00275BAA"/>
    <w:rsid w:val="002805F5"/>
    <w:rsid w:val="00280751"/>
    <w:rsid w:val="0028280A"/>
    <w:rsid w:val="002862CA"/>
    <w:rsid w:val="00286ACD"/>
    <w:rsid w:val="00287838"/>
    <w:rsid w:val="002907B5"/>
    <w:rsid w:val="00291CB8"/>
    <w:rsid w:val="00292EB7"/>
    <w:rsid w:val="00293DB8"/>
    <w:rsid w:val="00295CDB"/>
    <w:rsid w:val="00296227"/>
    <w:rsid w:val="002968CE"/>
    <w:rsid w:val="00296F44"/>
    <w:rsid w:val="0029777D"/>
    <w:rsid w:val="00297CE7"/>
    <w:rsid w:val="002A055E"/>
    <w:rsid w:val="002A0588"/>
    <w:rsid w:val="002A0F43"/>
    <w:rsid w:val="002A1586"/>
    <w:rsid w:val="002A1D4E"/>
    <w:rsid w:val="002A2433"/>
    <w:rsid w:val="002A2869"/>
    <w:rsid w:val="002A3485"/>
    <w:rsid w:val="002A4470"/>
    <w:rsid w:val="002A61D6"/>
    <w:rsid w:val="002B040E"/>
    <w:rsid w:val="002B17BB"/>
    <w:rsid w:val="002B24D6"/>
    <w:rsid w:val="002B5D42"/>
    <w:rsid w:val="002B626A"/>
    <w:rsid w:val="002C4191"/>
    <w:rsid w:val="002C41E6"/>
    <w:rsid w:val="002C4E9F"/>
    <w:rsid w:val="002D071A"/>
    <w:rsid w:val="002D34B2"/>
    <w:rsid w:val="002D48B0"/>
    <w:rsid w:val="002D5B37"/>
    <w:rsid w:val="002D7637"/>
    <w:rsid w:val="002D7E85"/>
    <w:rsid w:val="002E17F2"/>
    <w:rsid w:val="002E583A"/>
    <w:rsid w:val="002E5CC3"/>
    <w:rsid w:val="002E69FC"/>
    <w:rsid w:val="002E76DD"/>
    <w:rsid w:val="002E7CAE"/>
    <w:rsid w:val="002F2771"/>
    <w:rsid w:val="002F2917"/>
    <w:rsid w:val="002F37A9"/>
    <w:rsid w:val="002F5755"/>
    <w:rsid w:val="003003D3"/>
    <w:rsid w:val="00301CE6"/>
    <w:rsid w:val="0030256B"/>
    <w:rsid w:val="00303D64"/>
    <w:rsid w:val="0030501F"/>
    <w:rsid w:val="00305D31"/>
    <w:rsid w:val="00306B83"/>
    <w:rsid w:val="00307BA1"/>
    <w:rsid w:val="00311702"/>
    <w:rsid w:val="003118FF"/>
    <w:rsid w:val="00311E82"/>
    <w:rsid w:val="0031362A"/>
    <w:rsid w:val="00313B59"/>
    <w:rsid w:val="00313F4F"/>
    <w:rsid w:val="00313FD6"/>
    <w:rsid w:val="003143BD"/>
    <w:rsid w:val="00315363"/>
    <w:rsid w:val="0031688B"/>
    <w:rsid w:val="00316BEF"/>
    <w:rsid w:val="003203ED"/>
    <w:rsid w:val="003212D6"/>
    <w:rsid w:val="00322187"/>
    <w:rsid w:val="00322C9F"/>
    <w:rsid w:val="0032382C"/>
    <w:rsid w:val="00324D23"/>
    <w:rsid w:val="00326938"/>
    <w:rsid w:val="003308CF"/>
    <w:rsid w:val="00331751"/>
    <w:rsid w:val="00331E4C"/>
    <w:rsid w:val="003342F0"/>
    <w:rsid w:val="00334579"/>
    <w:rsid w:val="00334CC0"/>
    <w:rsid w:val="00335858"/>
    <w:rsid w:val="00336BDA"/>
    <w:rsid w:val="00342682"/>
    <w:rsid w:val="00342BD7"/>
    <w:rsid w:val="00346DB5"/>
    <w:rsid w:val="003477B1"/>
    <w:rsid w:val="00350747"/>
    <w:rsid w:val="00352500"/>
    <w:rsid w:val="0035271C"/>
    <w:rsid w:val="003551C2"/>
    <w:rsid w:val="00357380"/>
    <w:rsid w:val="00357806"/>
    <w:rsid w:val="00357B0D"/>
    <w:rsid w:val="003602D9"/>
    <w:rsid w:val="003604CE"/>
    <w:rsid w:val="00360BFB"/>
    <w:rsid w:val="00370E47"/>
    <w:rsid w:val="00370F25"/>
    <w:rsid w:val="003742AC"/>
    <w:rsid w:val="0037443F"/>
    <w:rsid w:val="00374ABA"/>
    <w:rsid w:val="00377CE1"/>
    <w:rsid w:val="0038501F"/>
    <w:rsid w:val="00385BF0"/>
    <w:rsid w:val="00386E93"/>
    <w:rsid w:val="0039094C"/>
    <w:rsid w:val="00392526"/>
    <w:rsid w:val="003939FF"/>
    <w:rsid w:val="003A21E2"/>
    <w:rsid w:val="003A2223"/>
    <w:rsid w:val="003A281B"/>
    <w:rsid w:val="003A2A0F"/>
    <w:rsid w:val="003A2B9F"/>
    <w:rsid w:val="003A45A1"/>
    <w:rsid w:val="003A4929"/>
    <w:rsid w:val="003A5B0A"/>
    <w:rsid w:val="003A6BAC"/>
    <w:rsid w:val="003A70A4"/>
    <w:rsid w:val="003A7EF3"/>
    <w:rsid w:val="003B0126"/>
    <w:rsid w:val="003B159C"/>
    <w:rsid w:val="003B2BE9"/>
    <w:rsid w:val="003B369F"/>
    <w:rsid w:val="003B36A3"/>
    <w:rsid w:val="003B5762"/>
    <w:rsid w:val="003B57F1"/>
    <w:rsid w:val="003B64BB"/>
    <w:rsid w:val="003B77C7"/>
    <w:rsid w:val="003B7CB8"/>
    <w:rsid w:val="003B7FE5"/>
    <w:rsid w:val="003C11C8"/>
    <w:rsid w:val="003C20D7"/>
    <w:rsid w:val="003C2702"/>
    <w:rsid w:val="003C6B30"/>
    <w:rsid w:val="003C7806"/>
    <w:rsid w:val="003D0B64"/>
    <w:rsid w:val="003D109F"/>
    <w:rsid w:val="003D2478"/>
    <w:rsid w:val="003D2A49"/>
    <w:rsid w:val="003D3C45"/>
    <w:rsid w:val="003D4C48"/>
    <w:rsid w:val="003D5B1F"/>
    <w:rsid w:val="003D6585"/>
    <w:rsid w:val="003D737A"/>
    <w:rsid w:val="003D7CD1"/>
    <w:rsid w:val="003E092C"/>
    <w:rsid w:val="003E0B74"/>
    <w:rsid w:val="003E15FA"/>
    <w:rsid w:val="003E55E4"/>
    <w:rsid w:val="003E6211"/>
    <w:rsid w:val="003E6476"/>
    <w:rsid w:val="003E67E8"/>
    <w:rsid w:val="003E74E3"/>
    <w:rsid w:val="003F05C7"/>
    <w:rsid w:val="003F2CD4"/>
    <w:rsid w:val="003F2D87"/>
    <w:rsid w:val="003F5872"/>
    <w:rsid w:val="003F6BBE"/>
    <w:rsid w:val="003F7D9F"/>
    <w:rsid w:val="004000E8"/>
    <w:rsid w:val="00402E2B"/>
    <w:rsid w:val="00404DAD"/>
    <w:rsid w:val="0040512B"/>
    <w:rsid w:val="00405CA5"/>
    <w:rsid w:val="00407CD3"/>
    <w:rsid w:val="00410134"/>
    <w:rsid w:val="00410B72"/>
    <w:rsid w:val="00410F18"/>
    <w:rsid w:val="0041263E"/>
    <w:rsid w:val="00413AAC"/>
    <w:rsid w:val="00413E92"/>
    <w:rsid w:val="00416169"/>
    <w:rsid w:val="00416222"/>
    <w:rsid w:val="0041663C"/>
    <w:rsid w:val="00420CED"/>
    <w:rsid w:val="00421105"/>
    <w:rsid w:val="004229D9"/>
    <w:rsid w:val="00422AA4"/>
    <w:rsid w:val="004242F4"/>
    <w:rsid w:val="00427248"/>
    <w:rsid w:val="00437447"/>
    <w:rsid w:val="00441A92"/>
    <w:rsid w:val="004431DC"/>
    <w:rsid w:val="00443FA6"/>
    <w:rsid w:val="004447E2"/>
    <w:rsid w:val="00444F56"/>
    <w:rsid w:val="00446488"/>
    <w:rsid w:val="00450D69"/>
    <w:rsid w:val="00451229"/>
    <w:rsid w:val="004517AA"/>
    <w:rsid w:val="00451AB0"/>
    <w:rsid w:val="00452CAC"/>
    <w:rsid w:val="004552EF"/>
    <w:rsid w:val="00456A9C"/>
    <w:rsid w:val="00457565"/>
    <w:rsid w:val="00457944"/>
    <w:rsid w:val="0045799C"/>
    <w:rsid w:val="00457B71"/>
    <w:rsid w:val="00460877"/>
    <w:rsid w:val="00461D09"/>
    <w:rsid w:val="004669E2"/>
    <w:rsid w:val="00470C31"/>
    <w:rsid w:val="004716F1"/>
    <w:rsid w:val="00471DE0"/>
    <w:rsid w:val="004734D0"/>
    <w:rsid w:val="00474E7C"/>
    <w:rsid w:val="0047556B"/>
    <w:rsid w:val="00477768"/>
    <w:rsid w:val="00481C73"/>
    <w:rsid w:val="00485E45"/>
    <w:rsid w:val="0049015F"/>
    <w:rsid w:val="00492BC5"/>
    <w:rsid w:val="004964F1"/>
    <w:rsid w:val="00497023"/>
    <w:rsid w:val="004A16BC"/>
    <w:rsid w:val="004A2B94"/>
    <w:rsid w:val="004A31F4"/>
    <w:rsid w:val="004A417B"/>
    <w:rsid w:val="004A65FF"/>
    <w:rsid w:val="004A7B6B"/>
    <w:rsid w:val="004B6F6A"/>
    <w:rsid w:val="004B79D1"/>
    <w:rsid w:val="004B7C0C"/>
    <w:rsid w:val="004C3898"/>
    <w:rsid w:val="004C69A3"/>
    <w:rsid w:val="004C6F5F"/>
    <w:rsid w:val="004D19E1"/>
    <w:rsid w:val="004D36B1"/>
    <w:rsid w:val="004D6252"/>
    <w:rsid w:val="004D6725"/>
    <w:rsid w:val="004D7EBD"/>
    <w:rsid w:val="004E1592"/>
    <w:rsid w:val="004E2680"/>
    <w:rsid w:val="004E2822"/>
    <w:rsid w:val="004E28F9"/>
    <w:rsid w:val="004E42C9"/>
    <w:rsid w:val="004E462E"/>
    <w:rsid w:val="004E4C0C"/>
    <w:rsid w:val="004E56DC"/>
    <w:rsid w:val="004E5D8D"/>
    <w:rsid w:val="004E76F4"/>
    <w:rsid w:val="004E77CA"/>
    <w:rsid w:val="004F0B4E"/>
    <w:rsid w:val="004F0B6C"/>
    <w:rsid w:val="004F2078"/>
    <w:rsid w:val="004F24D8"/>
    <w:rsid w:val="004F4978"/>
    <w:rsid w:val="004F4DA3"/>
    <w:rsid w:val="004F5941"/>
    <w:rsid w:val="004F7CF3"/>
    <w:rsid w:val="005029D7"/>
    <w:rsid w:val="005034F0"/>
    <w:rsid w:val="00506557"/>
    <w:rsid w:val="0050677A"/>
    <w:rsid w:val="00506FB2"/>
    <w:rsid w:val="005108D8"/>
    <w:rsid w:val="00510F51"/>
    <w:rsid w:val="005116F9"/>
    <w:rsid w:val="00514158"/>
    <w:rsid w:val="005153A7"/>
    <w:rsid w:val="005164A2"/>
    <w:rsid w:val="005164E1"/>
    <w:rsid w:val="00516BAB"/>
    <w:rsid w:val="005219CF"/>
    <w:rsid w:val="0052454F"/>
    <w:rsid w:val="00524BCC"/>
    <w:rsid w:val="00525EBA"/>
    <w:rsid w:val="0053334B"/>
    <w:rsid w:val="00534B59"/>
    <w:rsid w:val="005360F9"/>
    <w:rsid w:val="00536759"/>
    <w:rsid w:val="00536E0C"/>
    <w:rsid w:val="005379CC"/>
    <w:rsid w:val="00537C62"/>
    <w:rsid w:val="005408E1"/>
    <w:rsid w:val="00541417"/>
    <w:rsid w:val="0054141C"/>
    <w:rsid w:val="0054241E"/>
    <w:rsid w:val="00546970"/>
    <w:rsid w:val="00550115"/>
    <w:rsid w:val="00550919"/>
    <w:rsid w:val="00551AB6"/>
    <w:rsid w:val="0055306A"/>
    <w:rsid w:val="005548C2"/>
    <w:rsid w:val="00554E19"/>
    <w:rsid w:val="005565C7"/>
    <w:rsid w:val="00560227"/>
    <w:rsid w:val="0056121F"/>
    <w:rsid w:val="00562A90"/>
    <w:rsid w:val="00565FFB"/>
    <w:rsid w:val="00570B56"/>
    <w:rsid w:val="00572505"/>
    <w:rsid w:val="0057407B"/>
    <w:rsid w:val="005759C0"/>
    <w:rsid w:val="0057648A"/>
    <w:rsid w:val="00580B0A"/>
    <w:rsid w:val="00582809"/>
    <w:rsid w:val="00583709"/>
    <w:rsid w:val="00584FBB"/>
    <w:rsid w:val="00586A19"/>
    <w:rsid w:val="0058798C"/>
    <w:rsid w:val="005900FA"/>
    <w:rsid w:val="00590836"/>
    <w:rsid w:val="00591B5B"/>
    <w:rsid w:val="00591CB9"/>
    <w:rsid w:val="00592655"/>
    <w:rsid w:val="005935A4"/>
    <w:rsid w:val="0059431D"/>
    <w:rsid w:val="005948C2"/>
    <w:rsid w:val="00594F98"/>
    <w:rsid w:val="00595DCA"/>
    <w:rsid w:val="0059779B"/>
    <w:rsid w:val="005A038D"/>
    <w:rsid w:val="005A0AB2"/>
    <w:rsid w:val="005A209A"/>
    <w:rsid w:val="005A5248"/>
    <w:rsid w:val="005A5604"/>
    <w:rsid w:val="005A662D"/>
    <w:rsid w:val="005B1409"/>
    <w:rsid w:val="005B35D7"/>
    <w:rsid w:val="005B392A"/>
    <w:rsid w:val="005B3AA3"/>
    <w:rsid w:val="005B6F09"/>
    <w:rsid w:val="005B6F83"/>
    <w:rsid w:val="005B787C"/>
    <w:rsid w:val="005C024A"/>
    <w:rsid w:val="005C0275"/>
    <w:rsid w:val="005C07C8"/>
    <w:rsid w:val="005C4080"/>
    <w:rsid w:val="005C425F"/>
    <w:rsid w:val="005C4F3E"/>
    <w:rsid w:val="005C74FB"/>
    <w:rsid w:val="005C7F0D"/>
    <w:rsid w:val="005D0F19"/>
    <w:rsid w:val="005D1602"/>
    <w:rsid w:val="005D25D1"/>
    <w:rsid w:val="005D3C19"/>
    <w:rsid w:val="005D45C2"/>
    <w:rsid w:val="005D4FDF"/>
    <w:rsid w:val="005D536C"/>
    <w:rsid w:val="005E385F"/>
    <w:rsid w:val="005E5632"/>
    <w:rsid w:val="005E5B81"/>
    <w:rsid w:val="005F1345"/>
    <w:rsid w:val="005F2CB1"/>
    <w:rsid w:val="005F3025"/>
    <w:rsid w:val="005F34A0"/>
    <w:rsid w:val="005F41D1"/>
    <w:rsid w:val="005F618C"/>
    <w:rsid w:val="005F70BD"/>
    <w:rsid w:val="006025DD"/>
    <w:rsid w:val="0060283C"/>
    <w:rsid w:val="00604F14"/>
    <w:rsid w:val="00611B83"/>
    <w:rsid w:val="00613257"/>
    <w:rsid w:val="00614896"/>
    <w:rsid w:val="00614E33"/>
    <w:rsid w:val="00617FC1"/>
    <w:rsid w:val="00620444"/>
    <w:rsid w:val="00620A71"/>
    <w:rsid w:val="00620B33"/>
    <w:rsid w:val="00620D80"/>
    <w:rsid w:val="006234A6"/>
    <w:rsid w:val="00630001"/>
    <w:rsid w:val="006311B3"/>
    <w:rsid w:val="0063284C"/>
    <w:rsid w:val="006331E9"/>
    <w:rsid w:val="00633408"/>
    <w:rsid w:val="00633E92"/>
    <w:rsid w:val="00636398"/>
    <w:rsid w:val="006368D3"/>
    <w:rsid w:val="006377EC"/>
    <w:rsid w:val="00640B19"/>
    <w:rsid w:val="0064151F"/>
    <w:rsid w:val="00641533"/>
    <w:rsid w:val="0064208D"/>
    <w:rsid w:val="00643475"/>
    <w:rsid w:val="0064396A"/>
    <w:rsid w:val="00643D12"/>
    <w:rsid w:val="0064624E"/>
    <w:rsid w:val="0064663C"/>
    <w:rsid w:val="00647389"/>
    <w:rsid w:val="006500B6"/>
    <w:rsid w:val="00650AB9"/>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4D69"/>
    <w:rsid w:val="00675C72"/>
    <w:rsid w:val="006771F9"/>
    <w:rsid w:val="00677615"/>
    <w:rsid w:val="006776D7"/>
    <w:rsid w:val="00681003"/>
    <w:rsid w:val="006817C9"/>
    <w:rsid w:val="00682491"/>
    <w:rsid w:val="00683C2C"/>
    <w:rsid w:val="00683ECE"/>
    <w:rsid w:val="00691740"/>
    <w:rsid w:val="006938A0"/>
    <w:rsid w:val="00695FC2"/>
    <w:rsid w:val="00696949"/>
    <w:rsid w:val="00696A4F"/>
    <w:rsid w:val="00697052"/>
    <w:rsid w:val="006A20C2"/>
    <w:rsid w:val="006A3D9A"/>
    <w:rsid w:val="006A46FB"/>
    <w:rsid w:val="006A5A3D"/>
    <w:rsid w:val="006A5E28"/>
    <w:rsid w:val="006A697B"/>
    <w:rsid w:val="006A7AFF"/>
    <w:rsid w:val="006B1816"/>
    <w:rsid w:val="006B1D51"/>
    <w:rsid w:val="006B2099"/>
    <w:rsid w:val="006B50CF"/>
    <w:rsid w:val="006C03B8"/>
    <w:rsid w:val="006C1C20"/>
    <w:rsid w:val="006C1C7B"/>
    <w:rsid w:val="006C5EC9"/>
    <w:rsid w:val="006C6059"/>
    <w:rsid w:val="006C7522"/>
    <w:rsid w:val="006D0EC4"/>
    <w:rsid w:val="006D15A9"/>
    <w:rsid w:val="006D1854"/>
    <w:rsid w:val="006D30C0"/>
    <w:rsid w:val="006D320E"/>
    <w:rsid w:val="006D46A1"/>
    <w:rsid w:val="006D6F08"/>
    <w:rsid w:val="006D7953"/>
    <w:rsid w:val="006E062C"/>
    <w:rsid w:val="006E08DF"/>
    <w:rsid w:val="006E1C82"/>
    <w:rsid w:val="006E28B7"/>
    <w:rsid w:val="006E2A9B"/>
    <w:rsid w:val="006E3310"/>
    <w:rsid w:val="006E36A1"/>
    <w:rsid w:val="006E4E39"/>
    <w:rsid w:val="006E565E"/>
    <w:rsid w:val="006E5C09"/>
    <w:rsid w:val="006E673D"/>
    <w:rsid w:val="006E7D3B"/>
    <w:rsid w:val="006F1B70"/>
    <w:rsid w:val="006F341D"/>
    <w:rsid w:val="006F3CDE"/>
    <w:rsid w:val="006F3E16"/>
    <w:rsid w:val="006F58D4"/>
    <w:rsid w:val="006F6582"/>
    <w:rsid w:val="00701058"/>
    <w:rsid w:val="00701D4A"/>
    <w:rsid w:val="00703102"/>
    <w:rsid w:val="007031AE"/>
    <w:rsid w:val="0070346E"/>
    <w:rsid w:val="00704EDB"/>
    <w:rsid w:val="00706101"/>
    <w:rsid w:val="00706132"/>
    <w:rsid w:val="00707072"/>
    <w:rsid w:val="00707D61"/>
    <w:rsid w:val="007117E3"/>
    <w:rsid w:val="00712287"/>
    <w:rsid w:val="00712772"/>
    <w:rsid w:val="00713377"/>
    <w:rsid w:val="007140E5"/>
    <w:rsid w:val="007148D3"/>
    <w:rsid w:val="00715B9A"/>
    <w:rsid w:val="00715EB1"/>
    <w:rsid w:val="007171CB"/>
    <w:rsid w:val="007234F1"/>
    <w:rsid w:val="00725422"/>
    <w:rsid w:val="007257D0"/>
    <w:rsid w:val="0072603B"/>
    <w:rsid w:val="00726EA6"/>
    <w:rsid w:val="00727208"/>
    <w:rsid w:val="007272AE"/>
    <w:rsid w:val="00727680"/>
    <w:rsid w:val="00727F2A"/>
    <w:rsid w:val="0073313D"/>
    <w:rsid w:val="00733C4D"/>
    <w:rsid w:val="00733F33"/>
    <w:rsid w:val="00733FD0"/>
    <w:rsid w:val="007348B1"/>
    <w:rsid w:val="007362A6"/>
    <w:rsid w:val="00736411"/>
    <w:rsid w:val="00736D7D"/>
    <w:rsid w:val="00737468"/>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42A"/>
    <w:rsid w:val="00766BAD"/>
    <w:rsid w:val="00770D10"/>
    <w:rsid w:val="007729A2"/>
    <w:rsid w:val="007755F2"/>
    <w:rsid w:val="00776971"/>
    <w:rsid w:val="00780A80"/>
    <w:rsid w:val="0078177E"/>
    <w:rsid w:val="00782044"/>
    <w:rsid w:val="00782857"/>
    <w:rsid w:val="0078304C"/>
    <w:rsid w:val="00783673"/>
    <w:rsid w:val="00785490"/>
    <w:rsid w:val="00791833"/>
    <w:rsid w:val="007925EA"/>
    <w:rsid w:val="00793485"/>
    <w:rsid w:val="00793CD8"/>
    <w:rsid w:val="00795C92"/>
    <w:rsid w:val="00796231"/>
    <w:rsid w:val="007962CB"/>
    <w:rsid w:val="00796956"/>
    <w:rsid w:val="007A1CB3"/>
    <w:rsid w:val="007A1FC7"/>
    <w:rsid w:val="007A306F"/>
    <w:rsid w:val="007A43A6"/>
    <w:rsid w:val="007A58A6"/>
    <w:rsid w:val="007B220A"/>
    <w:rsid w:val="007B39E4"/>
    <w:rsid w:val="007B3D2D"/>
    <w:rsid w:val="007B50AE"/>
    <w:rsid w:val="007B51DF"/>
    <w:rsid w:val="007B5FDE"/>
    <w:rsid w:val="007B7FDF"/>
    <w:rsid w:val="007C05DD"/>
    <w:rsid w:val="007C3D18"/>
    <w:rsid w:val="007C40DB"/>
    <w:rsid w:val="007C60BF"/>
    <w:rsid w:val="007C6A07"/>
    <w:rsid w:val="007C75A1"/>
    <w:rsid w:val="007C77A5"/>
    <w:rsid w:val="007D0416"/>
    <w:rsid w:val="007D04E5"/>
    <w:rsid w:val="007D078F"/>
    <w:rsid w:val="007D2E47"/>
    <w:rsid w:val="007D3DDC"/>
    <w:rsid w:val="007D5901"/>
    <w:rsid w:val="007D7526"/>
    <w:rsid w:val="007D754C"/>
    <w:rsid w:val="007D765C"/>
    <w:rsid w:val="007D7B9D"/>
    <w:rsid w:val="007E1C66"/>
    <w:rsid w:val="007E25EA"/>
    <w:rsid w:val="007E4610"/>
    <w:rsid w:val="007E4715"/>
    <w:rsid w:val="007E505B"/>
    <w:rsid w:val="007E5A29"/>
    <w:rsid w:val="007E66CE"/>
    <w:rsid w:val="007E7091"/>
    <w:rsid w:val="007E74F8"/>
    <w:rsid w:val="007F53E7"/>
    <w:rsid w:val="007F6ADA"/>
    <w:rsid w:val="00803FAE"/>
    <w:rsid w:val="00805D71"/>
    <w:rsid w:val="0080605F"/>
    <w:rsid w:val="00807786"/>
    <w:rsid w:val="00807ED5"/>
    <w:rsid w:val="00811FCB"/>
    <w:rsid w:val="0081328B"/>
    <w:rsid w:val="00814006"/>
    <w:rsid w:val="008158D6"/>
    <w:rsid w:val="0081618A"/>
    <w:rsid w:val="00817196"/>
    <w:rsid w:val="008235DB"/>
    <w:rsid w:val="008238D1"/>
    <w:rsid w:val="00824AB4"/>
    <w:rsid w:val="00825C42"/>
    <w:rsid w:val="00825D25"/>
    <w:rsid w:val="00826BCE"/>
    <w:rsid w:val="0082729B"/>
    <w:rsid w:val="00827D6F"/>
    <w:rsid w:val="00830E18"/>
    <w:rsid w:val="00833B02"/>
    <w:rsid w:val="00835770"/>
    <w:rsid w:val="008376AC"/>
    <w:rsid w:val="00840B74"/>
    <w:rsid w:val="00841089"/>
    <w:rsid w:val="00843099"/>
    <w:rsid w:val="0084348F"/>
    <w:rsid w:val="008444E8"/>
    <w:rsid w:val="00844E80"/>
    <w:rsid w:val="00846B0D"/>
    <w:rsid w:val="00846FE7"/>
    <w:rsid w:val="00851CFA"/>
    <w:rsid w:val="00852E3F"/>
    <w:rsid w:val="00855382"/>
    <w:rsid w:val="008561EE"/>
    <w:rsid w:val="00856911"/>
    <w:rsid w:val="0086049E"/>
    <w:rsid w:val="008606C3"/>
    <w:rsid w:val="00865799"/>
    <w:rsid w:val="008677FD"/>
    <w:rsid w:val="008706D4"/>
    <w:rsid w:val="00870F8A"/>
    <w:rsid w:val="008710E2"/>
    <w:rsid w:val="008719A4"/>
    <w:rsid w:val="00871D23"/>
    <w:rsid w:val="00871D60"/>
    <w:rsid w:val="008726B1"/>
    <w:rsid w:val="0087335A"/>
    <w:rsid w:val="00874312"/>
    <w:rsid w:val="0087437C"/>
    <w:rsid w:val="00875CD7"/>
    <w:rsid w:val="00876B2B"/>
    <w:rsid w:val="00876B4D"/>
    <w:rsid w:val="00876DAA"/>
    <w:rsid w:val="00876F21"/>
    <w:rsid w:val="00877F18"/>
    <w:rsid w:val="008828A2"/>
    <w:rsid w:val="00883350"/>
    <w:rsid w:val="00883785"/>
    <w:rsid w:val="00883CB6"/>
    <w:rsid w:val="00886E66"/>
    <w:rsid w:val="00887F83"/>
    <w:rsid w:val="008930A5"/>
    <w:rsid w:val="008941E3"/>
    <w:rsid w:val="00894A88"/>
    <w:rsid w:val="00895386"/>
    <w:rsid w:val="00896870"/>
    <w:rsid w:val="0089763B"/>
    <w:rsid w:val="008977C4"/>
    <w:rsid w:val="008A21FF"/>
    <w:rsid w:val="008A2CE2"/>
    <w:rsid w:val="008A30AC"/>
    <w:rsid w:val="008A3261"/>
    <w:rsid w:val="008A44B8"/>
    <w:rsid w:val="008A51A8"/>
    <w:rsid w:val="008A54C7"/>
    <w:rsid w:val="008A54FE"/>
    <w:rsid w:val="008A6343"/>
    <w:rsid w:val="008A7338"/>
    <w:rsid w:val="008A77D8"/>
    <w:rsid w:val="008B0483"/>
    <w:rsid w:val="008B120C"/>
    <w:rsid w:val="008B3EC7"/>
    <w:rsid w:val="008B51A0"/>
    <w:rsid w:val="008B592A"/>
    <w:rsid w:val="008B6BD0"/>
    <w:rsid w:val="008B6C82"/>
    <w:rsid w:val="008B7B5C"/>
    <w:rsid w:val="008C0C99"/>
    <w:rsid w:val="008C2017"/>
    <w:rsid w:val="008C2250"/>
    <w:rsid w:val="008C3E1C"/>
    <w:rsid w:val="008C4958"/>
    <w:rsid w:val="008C4BAA"/>
    <w:rsid w:val="008C4C02"/>
    <w:rsid w:val="008C59CA"/>
    <w:rsid w:val="008C6AE8"/>
    <w:rsid w:val="008C6D9D"/>
    <w:rsid w:val="008C7573"/>
    <w:rsid w:val="008D00A5"/>
    <w:rsid w:val="008D34F1"/>
    <w:rsid w:val="008D383A"/>
    <w:rsid w:val="008D39D8"/>
    <w:rsid w:val="008D5229"/>
    <w:rsid w:val="008D6D1A"/>
    <w:rsid w:val="008D717D"/>
    <w:rsid w:val="008E065E"/>
    <w:rsid w:val="008E0927"/>
    <w:rsid w:val="008E1909"/>
    <w:rsid w:val="008F1C4E"/>
    <w:rsid w:val="008F1EAB"/>
    <w:rsid w:val="008F334B"/>
    <w:rsid w:val="008F33DC"/>
    <w:rsid w:val="008F477F"/>
    <w:rsid w:val="008F4EBC"/>
    <w:rsid w:val="008F7187"/>
    <w:rsid w:val="008F7F6A"/>
    <w:rsid w:val="00902350"/>
    <w:rsid w:val="00902CAF"/>
    <w:rsid w:val="0090336B"/>
    <w:rsid w:val="00904DFD"/>
    <w:rsid w:val="009053AA"/>
    <w:rsid w:val="00906939"/>
    <w:rsid w:val="00910B7D"/>
    <w:rsid w:val="009115E7"/>
    <w:rsid w:val="00911DFB"/>
    <w:rsid w:val="009139D9"/>
    <w:rsid w:val="00914AD8"/>
    <w:rsid w:val="00916079"/>
    <w:rsid w:val="00917CE9"/>
    <w:rsid w:val="00920BF2"/>
    <w:rsid w:val="00921463"/>
    <w:rsid w:val="00922010"/>
    <w:rsid w:val="00925BA0"/>
    <w:rsid w:val="00925D13"/>
    <w:rsid w:val="00926CA2"/>
    <w:rsid w:val="0093023A"/>
    <w:rsid w:val="00930B3F"/>
    <w:rsid w:val="00930E0D"/>
    <w:rsid w:val="00931BD9"/>
    <w:rsid w:val="0093341B"/>
    <w:rsid w:val="00933745"/>
    <w:rsid w:val="00934766"/>
    <w:rsid w:val="009368F3"/>
    <w:rsid w:val="00941636"/>
    <w:rsid w:val="00943742"/>
    <w:rsid w:val="00945C05"/>
    <w:rsid w:val="00946945"/>
    <w:rsid w:val="00947713"/>
    <w:rsid w:val="00950DE7"/>
    <w:rsid w:val="00953920"/>
    <w:rsid w:val="00953D47"/>
    <w:rsid w:val="00954BC7"/>
    <w:rsid w:val="00955BFF"/>
    <w:rsid w:val="0095681E"/>
    <w:rsid w:val="009572D4"/>
    <w:rsid w:val="00957A0F"/>
    <w:rsid w:val="00957C66"/>
    <w:rsid w:val="00960477"/>
    <w:rsid w:val="009605AB"/>
    <w:rsid w:val="00960C2E"/>
    <w:rsid w:val="00961921"/>
    <w:rsid w:val="009625F8"/>
    <w:rsid w:val="0096430A"/>
    <w:rsid w:val="0096554B"/>
    <w:rsid w:val="0096584A"/>
    <w:rsid w:val="00965D48"/>
    <w:rsid w:val="009708A7"/>
    <w:rsid w:val="00971F08"/>
    <w:rsid w:val="0097375E"/>
    <w:rsid w:val="0097405B"/>
    <w:rsid w:val="0097603D"/>
    <w:rsid w:val="00976949"/>
    <w:rsid w:val="00977D3E"/>
    <w:rsid w:val="00980369"/>
    <w:rsid w:val="00980477"/>
    <w:rsid w:val="00985253"/>
    <w:rsid w:val="009853B3"/>
    <w:rsid w:val="00985AF9"/>
    <w:rsid w:val="00990630"/>
    <w:rsid w:val="009916D9"/>
    <w:rsid w:val="00991761"/>
    <w:rsid w:val="00994DCA"/>
    <w:rsid w:val="00994F2F"/>
    <w:rsid w:val="009960EC"/>
    <w:rsid w:val="009970DD"/>
    <w:rsid w:val="009A0FBA"/>
    <w:rsid w:val="009A1601"/>
    <w:rsid w:val="009A375C"/>
    <w:rsid w:val="009A3BB6"/>
    <w:rsid w:val="009A462D"/>
    <w:rsid w:val="009A4970"/>
    <w:rsid w:val="009A5CBA"/>
    <w:rsid w:val="009B1F30"/>
    <w:rsid w:val="009B2D8E"/>
    <w:rsid w:val="009B3AC2"/>
    <w:rsid w:val="009B3AF1"/>
    <w:rsid w:val="009B4DF4"/>
    <w:rsid w:val="009B564E"/>
    <w:rsid w:val="009B7E87"/>
    <w:rsid w:val="009C0169"/>
    <w:rsid w:val="009C403E"/>
    <w:rsid w:val="009D0394"/>
    <w:rsid w:val="009D4FF0"/>
    <w:rsid w:val="009D703C"/>
    <w:rsid w:val="009D718F"/>
    <w:rsid w:val="009E068F"/>
    <w:rsid w:val="009E14E0"/>
    <w:rsid w:val="009E35DB"/>
    <w:rsid w:val="009E369A"/>
    <w:rsid w:val="009E47A3"/>
    <w:rsid w:val="009E535A"/>
    <w:rsid w:val="009E71EE"/>
    <w:rsid w:val="009F06A5"/>
    <w:rsid w:val="009F08F3"/>
    <w:rsid w:val="009F0BD5"/>
    <w:rsid w:val="009F1C18"/>
    <w:rsid w:val="009F2682"/>
    <w:rsid w:val="009F344F"/>
    <w:rsid w:val="009F6150"/>
    <w:rsid w:val="009F7852"/>
    <w:rsid w:val="00A0104A"/>
    <w:rsid w:val="00A02A3C"/>
    <w:rsid w:val="00A031D8"/>
    <w:rsid w:val="00A048A8"/>
    <w:rsid w:val="00A04F49"/>
    <w:rsid w:val="00A106D1"/>
    <w:rsid w:val="00A11F28"/>
    <w:rsid w:val="00A1311D"/>
    <w:rsid w:val="00A13E54"/>
    <w:rsid w:val="00A1400F"/>
    <w:rsid w:val="00A149EF"/>
    <w:rsid w:val="00A17E88"/>
    <w:rsid w:val="00A17F63"/>
    <w:rsid w:val="00A2012F"/>
    <w:rsid w:val="00A2193B"/>
    <w:rsid w:val="00A2268A"/>
    <w:rsid w:val="00A229ED"/>
    <w:rsid w:val="00A2313B"/>
    <w:rsid w:val="00A2351A"/>
    <w:rsid w:val="00A23AD1"/>
    <w:rsid w:val="00A2503B"/>
    <w:rsid w:val="00A264A9"/>
    <w:rsid w:val="00A26DCF"/>
    <w:rsid w:val="00A27361"/>
    <w:rsid w:val="00A27785"/>
    <w:rsid w:val="00A30187"/>
    <w:rsid w:val="00A30334"/>
    <w:rsid w:val="00A30DCD"/>
    <w:rsid w:val="00A31715"/>
    <w:rsid w:val="00A33CA6"/>
    <w:rsid w:val="00A3448A"/>
    <w:rsid w:val="00A36297"/>
    <w:rsid w:val="00A36596"/>
    <w:rsid w:val="00A370CC"/>
    <w:rsid w:val="00A37A93"/>
    <w:rsid w:val="00A4008C"/>
    <w:rsid w:val="00A40170"/>
    <w:rsid w:val="00A40E9A"/>
    <w:rsid w:val="00A41E2B"/>
    <w:rsid w:val="00A41F05"/>
    <w:rsid w:val="00A4213D"/>
    <w:rsid w:val="00A4216A"/>
    <w:rsid w:val="00A45B74"/>
    <w:rsid w:val="00A529F5"/>
    <w:rsid w:val="00A52E1D"/>
    <w:rsid w:val="00A5343C"/>
    <w:rsid w:val="00A53BA7"/>
    <w:rsid w:val="00A54296"/>
    <w:rsid w:val="00A61499"/>
    <w:rsid w:val="00A62A77"/>
    <w:rsid w:val="00A62C0F"/>
    <w:rsid w:val="00A6320E"/>
    <w:rsid w:val="00A63483"/>
    <w:rsid w:val="00A657D7"/>
    <w:rsid w:val="00A660AC"/>
    <w:rsid w:val="00A67E6C"/>
    <w:rsid w:val="00A71B99"/>
    <w:rsid w:val="00A739D0"/>
    <w:rsid w:val="00A761D4"/>
    <w:rsid w:val="00A77EC4"/>
    <w:rsid w:val="00A8589C"/>
    <w:rsid w:val="00A865AE"/>
    <w:rsid w:val="00A90AAE"/>
    <w:rsid w:val="00A92879"/>
    <w:rsid w:val="00A93B59"/>
    <w:rsid w:val="00A9442A"/>
    <w:rsid w:val="00A95D4D"/>
    <w:rsid w:val="00A97C4F"/>
    <w:rsid w:val="00AA016F"/>
    <w:rsid w:val="00AA1ED6"/>
    <w:rsid w:val="00AA51D6"/>
    <w:rsid w:val="00AB0BC8"/>
    <w:rsid w:val="00AB11CA"/>
    <w:rsid w:val="00AB14D9"/>
    <w:rsid w:val="00AB21C0"/>
    <w:rsid w:val="00AB367D"/>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F94"/>
    <w:rsid w:val="00AD4A5A"/>
    <w:rsid w:val="00AD4B6A"/>
    <w:rsid w:val="00AD5163"/>
    <w:rsid w:val="00AD6BCD"/>
    <w:rsid w:val="00AE27AC"/>
    <w:rsid w:val="00AE40E0"/>
    <w:rsid w:val="00AE4DBA"/>
    <w:rsid w:val="00AE4F07"/>
    <w:rsid w:val="00AE5868"/>
    <w:rsid w:val="00AE59AE"/>
    <w:rsid w:val="00AF1C5D"/>
    <w:rsid w:val="00AF2EE3"/>
    <w:rsid w:val="00AF42D7"/>
    <w:rsid w:val="00B006FE"/>
    <w:rsid w:val="00B007CB"/>
    <w:rsid w:val="00B02609"/>
    <w:rsid w:val="00B02AA9"/>
    <w:rsid w:val="00B02FA3"/>
    <w:rsid w:val="00B039D8"/>
    <w:rsid w:val="00B05084"/>
    <w:rsid w:val="00B05186"/>
    <w:rsid w:val="00B05B1D"/>
    <w:rsid w:val="00B05C6A"/>
    <w:rsid w:val="00B076E0"/>
    <w:rsid w:val="00B1149F"/>
    <w:rsid w:val="00B14120"/>
    <w:rsid w:val="00B157F9"/>
    <w:rsid w:val="00B17803"/>
    <w:rsid w:val="00B20256"/>
    <w:rsid w:val="00B20D09"/>
    <w:rsid w:val="00B224B8"/>
    <w:rsid w:val="00B2763F"/>
    <w:rsid w:val="00B27AAC"/>
    <w:rsid w:val="00B30929"/>
    <w:rsid w:val="00B32AEF"/>
    <w:rsid w:val="00B36901"/>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3A10"/>
    <w:rsid w:val="00B54296"/>
    <w:rsid w:val="00B547CC"/>
    <w:rsid w:val="00B548B7"/>
    <w:rsid w:val="00B567B0"/>
    <w:rsid w:val="00B57515"/>
    <w:rsid w:val="00B602D6"/>
    <w:rsid w:val="00B62490"/>
    <w:rsid w:val="00B628AD"/>
    <w:rsid w:val="00B664C7"/>
    <w:rsid w:val="00B66F48"/>
    <w:rsid w:val="00B674D3"/>
    <w:rsid w:val="00B71B3E"/>
    <w:rsid w:val="00B71C8E"/>
    <w:rsid w:val="00B739F6"/>
    <w:rsid w:val="00B74756"/>
    <w:rsid w:val="00B7783A"/>
    <w:rsid w:val="00B81A6C"/>
    <w:rsid w:val="00B82F2B"/>
    <w:rsid w:val="00B83F10"/>
    <w:rsid w:val="00B85655"/>
    <w:rsid w:val="00B85DE5"/>
    <w:rsid w:val="00B86125"/>
    <w:rsid w:val="00B9093E"/>
    <w:rsid w:val="00B90F73"/>
    <w:rsid w:val="00B93B59"/>
    <w:rsid w:val="00B9406A"/>
    <w:rsid w:val="00B949A5"/>
    <w:rsid w:val="00B97B5A"/>
    <w:rsid w:val="00BA2280"/>
    <w:rsid w:val="00BA2539"/>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D3218"/>
    <w:rsid w:val="00BD48AC"/>
    <w:rsid w:val="00BD508A"/>
    <w:rsid w:val="00BD5F1A"/>
    <w:rsid w:val="00BE1234"/>
    <w:rsid w:val="00BE1884"/>
    <w:rsid w:val="00BE2FA6"/>
    <w:rsid w:val="00BE333F"/>
    <w:rsid w:val="00BE42E9"/>
    <w:rsid w:val="00BE7406"/>
    <w:rsid w:val="00BE7603"/>
    <w:rsid w:val="00BF03E8"/>
    <w:rsid w:val="00BF1C73"/>
    <w:rsid w:val="00BF3279"/>
    <w:rsid w:val="00BF74C7"/>
    <w:rsid w:val="00BF7DB6"/>
    <w:rsid w:val="00C015F1"/>
    <w:rsid w:val="00C01F33"/>
    <w:rsid w:val="00C02CC6"/>
    <w:rsid w:val="00C040F7"/>
    <w:rsid w:val="00C044AB"/>
    <w:rsid w:val="00C047DB"/>
    <w:rsid w:val="00C05706"/>
    <w:rsid w:val="00C05EB8"/>
    <w:rsid w:val="00C0719F"/>
    <w:rsid w:val="00C07377"/>
    <w:rsid w:val="00C10478"/>
    <w:rsid w:val="00C12107"/>
    <w:rsid w:val="00C12177"/>
    <w:rsid w:val="00C14D4B"/>
    <w:rsid w:val="00C154BB"/>
    <w:rsid w:val="00C17EDA"/>
    <w:rsid w:val="00C21261"/>
    <w:rsid w:val="00C214E0"/>
    <w:rsid w:val="00C242FB"/>
    <w:rsid w:val="00C2531D"/>
    <w:rsid w:val="00C25467"/>
    <w:rsid w:val="00C279B5"/>
    <w:rsid w:val="00C27C45"/>
    <w:rsid w:val="00C3719D"/>
    <w:rsid w:val="00C37CB2"/>
    <w:rsid w:val="00C4316F"/>
    <w:rsid w:val="00C473A5"/>
    <w:rsid w:val="00C51730"/>
    <w:rsid w:val="00C5419E"/>
    <w:rsid w:val="00C54995"/>
    <w:rsid w:val="00C54B41"/>
    <w:rsid w:val="00C54D41"/>
    <w:rsid w:val="00C60093"/>
    <w:rsid w:val="00C60783"/>
    <w:rsid w:val="00C624C8"/>
    <w:rsid w:val="00C64672"/>
    <w:rsid w:val="00C6763B"/>
    <w:rsid w:val="00C70397"/>
    <w:rsid w:val="00C70697"/>
    <w:rsid w:val="00C70CB7"/>
    <w:rsid w:val="00C72093"/>
    <w:rsid w:val="00C72EF4"/>
    <w:rsid w:val="00C7315A"/>
    <w:rsid w:val="00C73ABA"/>
    <w:rsid w:val="00C744FE"/>
    <w:rsid w:val="00C7452B"/>
    <w:rsid w:val="00C75D2F"/>
    <w:rsid w:val="00C767BE"/>
    <w:rsid w:val="00C76E3C"/>
    <w:rsid w:val="00C81568"/>
    <w:rsid w:val="00C82CCF"/>
    <w:rsid w:val="00C836D8"/>
    <w:rsid w:val="00C9027A"/>
    <w:rsid w:val="00C9068E"/>
    <w:rsid w:val="00C91B4C"/>
    <w:rsid w:val="00C91D86"/>
    <w:rsid w:val="00C93814"/>
    <w:rsid w:val="00C93C4B"/>
    <w:rsid w:val="00C9449D"/>
    <w:rsid w:val="00C944AB"/>
    <w:rsid w:val="00C95B40"/>
    <w:rsid w:val="00C9692D"/>
    <w:rsid w:val="00C97EBF"/>
    <w:rsid w:val="00CA0D3A"/>
    <w:rsid w:val="00CA0E56"/>
    <w:rsid w:val="00CA1ED8"/>
    <w:rsid w:val="00CA38E0"/>
    <w:rsid w:val="00CA779C"/>
    <w:rsid w:val="00CB1205"/>
    <w:rsid w:val="00CB1F63"/>
    <w:rsid w:val="00CB3AFC"/>
    <w:rsid w:val="00CB7170"/>
    <w:rsid w:val="00CC040E"/>
    <w:rsid w:val="00CC111F"/>
    <w:rsid w:val="00CC2011"/>
    <w:rsid w:val="00CC3EA0"/>
    <w:rsid w:val="00CC7B45"/>
    <w:rsid w:val="00CD0448"/>
    <w:rsid w:val="00CD1188"/>
    <w:rsid w:val="00CD24CA"/>
    <w:rsid w:val="00CD2ED1"/>
    <w:rsid w:val="00CD337B"/>
    <w:rsid w:val="00CE0424"/>
    <w:rsid w:val="00CE0BF7"/>
    <w:rsid w:val="00CE45CD"/>
    <w:rsid w:val="00CE50CF"/>
    <w:rsid w:val="00CE7561"/>
    <w:rsid w:val="00CE7EE4"/>
    <w:rsid w:val="00CF08A4"/>
    <w:rsid w:val="00CF1354"/>
    <w:rsid w:val="00CF3B1F"/>
    <w:rsid w:val="00CF3B69"/>
    <w:rsid w:val="00CF3BF6"/>
    <w:rsid w:val="00CF3F81"/>
    <w:rsid w:val="00CF47E8"/>
    <w:rsid w:val="00CF625B"/>
    <w:rsid w:val="00CF687E"/>
    <w:rsid w:val="00D0256F"/>
    <w:rsid w:val="00D0349B"/>
    <w:rsid w:val="00D03922"/>
    <w:rsid w:val="00D10249"/>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341B"/>
    <w:rsid w:val="00D36E71"/>
    <w:rsid w:val="00D37D87"/>
    <w:rsid w:val="00D40B33"/>
    <w:rsid w:val="00D4318F"/>
    <w:rsid w:val="00D438BF"/>
    <w:rsid w:val="00D440F8"/>
    <w:rsid w:val="00D44431"/>
    <w:rsid w:val="00D45851"/>
    <w:rsid w:val="00D47F23"/>
    <w:rsid w:val="00D50AA0"/>
    <w:rsid w:val="00D527FB"/>
    <w:rsid w:val="00D546FF"/>
    <w:rsid w:val="00D5484D"/>
    <w:rsid w:val="00D55AD5"/>
    <w:rsid w:val="00D55FD1"/>
    <w:rsid w:val="00D576CA"/>
    <w:rsid w:val="00D61AF5"/>
    <w:rsid w:val="00D6223C"/>
    <w:rsid w:val="00D62A3C"/>
    <w:rsid w:val="00D652B5"/>
    <w:rsid w:val="00D66155"/>
    <w:rsid w:val="00D67741"/>
    <w:rsid w:val="00D67D33"/>
    <w:rsid w:val="00D70808"/>
    <w:rsid w:val="00D708B0"/>
    <w:rsid w:val="00D70FD8"/>
    <w:rsid w:val="00D7121A"/>
    <w:rsid w:val="00D7281A"/>
    <w:rsid w:val="00D77B1D"/>
    <w:rsid w:val="00D8021F"/>
    <w:rsid w:val="00D80383"/>
    <w:rsid w:val="00D80EB2"/>
    <w:rsid w:val="00D823C6"/>
    <w:rsid w:val="00D82FFB"/>
    <w:rsid w:val="00D8327F"/>
    <w:rsid w:val="00D83449"/>
    <w:rsid w:val="00D855D3"/>
    <w:rsid w:val="00D86CA3"/>
    <w:rsid w:val="00D871CE"/>
    <w:rsid w:val="00D90287"/>
    <w:rsid w:val="00D9196D"/>
    <w:rsid w:val="00D92067"/>
    <w:rsid w:val="00D92982"/>
    <w:rsid w:val="00D95785"/>
    <w:rsid w:val="00D97DE7"/>
    <w:rsid w:val="00DA025F"/>
    <w:rsid w:val="00DA1465"/>
    <w:rsid w:val="00DA192E"/>
    <w:rsid w:val="00DA22A1"/>
    <w:rsid w:val="00DA28EC"/>
    <w:rsid w:val="00DA305E"/>
    <w:rsid w:val="00DA3DC9"/>
    <w:rsid w:val="00DA4E95"/>
    <w:rsid w:val="00DA5417"/>
    <w:rsid w:val="00DA56E8"/>
    <w:rsid w:val="00DA76A8"/>
    <w:rsid w:val="00DA7BF0"/>
    <w:rsid w:val="00DB0A9F"/>
    <w:rsid w:val="00DB14C1"/>
    <w:rsid w:val="00DB2802"/>
    <w:rsid w:val="00DB3592"/>
    <w:rsid w:val="00DB3720"/>
    <w:rsid w:val="00DB377D"/>
    <w:rsid w:val="00DC2D36"/>
    <w:rsid w:val="00DC3459"/>
    <w:rsid w:val="00DC5213"/>
    <w:rsid w:val="00DC53EF"/>
    <w:rsid w:val="00DC575B"/>
    <w:rsid w:val="00DC7337"/>
    <w:rsid w:val="00DD1DA5"/>
    <w:rsid w:val="00DD3863"/>
    <w:rsid w:val="00DD597E"/>
    <w:rsid w:val="00DE49EE"/>
    <w:rsid w:val="00DE5608"/>
    <w:rsid w:val="00DE58D0"/>
    <w:rsid w:val="00DE654F"/>
    <w:rsid w:val="00DF01EA"/>
    <w:rsid w:val="00DF0B6E"/>
    <w:rsid w:val="00DF10E5"/>
    <w:rsid w:val="00DF15E0"/>
    <w:rsid w:val="00DF316A"/>
    <w:rsid w:val="00DF37A0"/>
    <w:rsid w:val="00DF440B"/>
    <w:rsid w:val="00E035B9"/>
    <w:rsid w:val="00E062FA"/>
    <w:rsid w:val="00E110E7"/>
    <w:rsid w:val="00E11B20"/>
    <w:rsid w:val="00E128B0"/>
    <w:rsid w:val="00E17FA2"/>
    <w:rsid w:val="00E22330"/>
    <w:rsid w:val="00E244FA"/>
    <w:rsid w:val="00E25F46"/>
    <w:rsid w:val="00E30B5A"/>
    <w:rsid w:val="00E30D47"/>
    <w:rsid w:val="00E3123D"/>
    <w:rsid w:val="00E31461"/>
    <w:rsid w:val="00E31D43"/>
    <w:rsid w:val="00E32608"/>
    <w:rsid w:val="00E34188"/>
    <w:rsid w:val="00E34B6E"/>
    <w:rsid w:val="00E35559"/>
    <w:rsid w:val="00E3599F"/>
    <w:rsid w:val="00E3723A"/>
    <w:rsid w:val="00E37860"/>
    <w:rsid w:val="00E42302"/>
    <w:rsid w:val="00E44286"/>
    <w:rsid w:val="00E446F1"/>
    <w:rsid w:val="00E46886"/>
    <w:rsid w:val="00E46E7E"/>
    <w:rsid w:val="00E47AEF"/>
    <w:rsid w:val="00E52781"/>
    <w:rsid w:val="00E53B75"/>
    <w:rsid w:val="00E54E3B"/>
    <w:rsid w:val="00E5545B"/>
    <w:rsid w:val="00E55F66"/>
    <w:rsid w:val="00E5669C"/>
    <w:rsid w:val="00E57565"/>
    <w:rsid w:val="00E63838"/>
    <w:rsid w:val="00E63BBA"/>
    <w:rsid w:val="00E64434"/>
    <w:rsid w:val="00E64C77"/>
    <w:rsid w:val="00E67C0F"/>
    <w:rsid w:val="00E67C51"/>
    <w:rsid w:val="00E71A71"/>
    <w:rsid w:val="00E727B7"/>
    <w:rsid w:val="00E72EFC"/>
    <w:rsid w:val="00E73DFE"/>
    <w:rsid w:val="00E758EC"/>
    <w:rsid w:val="00E75916"/>
    <w:rsid w:val="00E80457"/>
    <w:rsid w:val="00E80ACA"/>
    <w:rsid w:val="00E821DE"/>
    <w:rsid w:val="00E8234C"/>
    <w:rsid w:val="00E83AA9"/>
    <w:rsid w:val="00E85654"/>
    <w:rsid w:val="00E85928"/>
    <w:rsid w:val="00E87822"/>
    <w:rsid w:val="00E90395"/>
    <w:rsid w:val="00E90E49"/>
    <w:rsid w:val="00E917F9"/>
    <w:rsid w:val="00E9291C"/>
    <w:rsid w:val="00E92E6B"/>
    <w:rsid w:val="00E93FC6"/>
    <w:rsid w:val="00E93FFE"/>
    <w:rsid w:val="00E94F8A"/>
    <w:rsid w:val="00E968B1"/>
    <w:rsid w:val="00EA1229"/>
    <w:rsid w:val="00EA13EB"/>
    <w:rsid w:val="00EA4191"/>
    <w:rsid w:val="00EA7A41"/>
    <w:rsid w:val="00EB077B"/>
    <w:rsid w:val="00EB4D67"/>
    <w:rsid w:val="00EB4EA2"/>
    <w:rsid w:val="00EB6D87"/>
    <w:rsid w:val="00EB7AC2"/>
    <w:rsid w:val="00EC24D5"/>
    <w:rsid w:val="00EC27C6"/>
    <w:rsid w:val="00EC4207"/>
    <w:rsid w:val="00EC5653"/>
    <w:rsid w:val="00EC6B83"/>
    <w:rsid w:val="00EC71CE"/>
    <w:rsid w:val="00ED1006"/>
    <w:rsid w:val="00ED153C"/>
    <w:rsid w:val="00ED77EB"/>
    <w:rsid w:val="00ED7F88"/>
    <w:rsid w:val="00EE1DA8"/>
    <w:rsid w:val="00EE2729"/>
    <w:rsid w:val="00EE3717"/>
    <w:rsid w:val="00EE3873"/>
    <w:rsid w:val="00EE6B0C"/>
    <w:rsid w:val="00EF18FE"/>
    <w:rsid w:val="00EF2461"/>
    <w:rsid w:val="00EF4D22"/>
    <w:rsid w:val="00EF4F6F"/>
    <w:rsid w:val="00EF5787"/>
    <w:rsid w:val="00EF60D0"/>
    <w:rsid w:val="00EF7D62"/>
    <w:rsid w:val="00F00F62"/>
    <w:rsid w:val="00F01DB3"/>
    <w:rsid w:val="00F03DAF"/>
    <w:rsid w:val="00F05216"/>
    <w:rsid w:val="00F0528D"/>
    <w:rsid w:val="00F06C67"/>
    <w:rsid w:val="00F06DFD"/>
    <w:rsid w:val="00F071D1"/>
    <w:rsid w:val="00F07533"/>
    <w:rsid w:val="00F10629"/>
    <w:rsid w:val="00F157F2"/>
    <w:rsid w:val="00F15FA5"/>
    <w:rsid w:val="00F209B7"/>
    <w:rsid w:val="00F218F3"/>
    <w:rsid w:val="00F22355"/>
    <w:rsid w:val="00F2260C"/>
    <w:rsid w:val="00F227BA"/>
    <w:rsid w:val="00F22D7D"/>
    <w:rsid w:val="00F2376F"/>
    <w:rsid w:val="00F243D8"/>
    <w:rsid w:val="00F256D6"/>
    <w:rsid w:val="00F30828"/>
    <w:rsid w:val="00F313D6"/>
    <w:rsid w:val="00F376AE"/>
    <w:rsid w:val="00F40F0C"/>
    <w:rsid w:val="00F416C3"/>
    <w:rsid w:val="00F4631E"/>
    <w:rsid w:val="00F4766C"/>
    <w:rsid w:val="00F5060E"/>
    <w:rsid w:val="00F507B5"/>
    <w:rsid w:val="00F507D1"/>
    <w:rsid w:val="00F519CE"/>
    <w:rsid w:val="00F51A9C"/>
    <w:rsid w:val="00F51ADA"/>
    <w:rsid w:val="00F576BF"/>
    <w:rsid w:val="00F60203"/>
    <w:rsid w:val="00F607C5"/>
    <w:rsid w:val="00F60DEA"/>
    <w:rsid w:val="00F6302A"/>
    <w:rsid w:val="00F63950"/>
    <w:rsid w:val="00F64C2B"/>
    <w:rsid w:val="00F651BE"/>
    <w:rsid w:val="00F67F53"/>
    <w:rsid w:val="00F703BE"/>
    <w:rsid w:val="00F71F69"/>
    <w:rsid w:val="00F72B72"/>
    <w:rsid w:val="00F7378F"/>
    <w:rsid w:val="00F74BB9"/>
    <w:rsid w:val="00F75582"/>
    <w:rsid w:val="00F75DD9"/>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6985"/>
    <w:rsid w:val="00F976B6"/>
    <w:rsid w:val="00F97838"/>
    <w:rsid w:val="00F97FE0"/>
    <w:rsid w:val="00FA2BB3"/>
    <w:rsid w:val="00FA51F7"/>
    <w:rsid w:val="00FB3E0F"/>
    <w:rsid w:val="00FB4C80"/>
    <w:rsid w:val="00FB4FA4"/>
    <w:rsid w:val="00FB6A6A"/>
    <w:rsid w:val="00FB7FFB"/>
    <w:rsid w:val="00FC1F38"/>
    <w:rsid w:val="00FC7429"/>
    <w:rsid w:val="00FC76B9"/>
    <w:rsid w:val="00FD07F6"/>
    <w:rsid w:val="00FD155E"/>
    <w:rsid w:val="00FD1EC8"/>
    <w:rsid w:val="00FD3E99"/>
    <w:rsid w:val="00FD47ED"/>
    <w:rsid w:val="00FD6974"/>
    <w:rsid w:val="00FD74DB"/>
    <w:rsid w:val="00FD7660"/>
    <w:rsid w:val="00FE0655"/>
    <w:rsid w:val="00FE1E9D"/>
    <w:rsid w:val="00FE2365"/>
    <w:rsid w:val="00FE37D7"/>
    <w:rsid w:val="00FE4976"/>
    <w:rsid w:val="00FE4C7B"/>
    <w:rsid w:val="00FE7336"/>
    <w:rsid w:val="00FE787C"/>
    <w:rsid w:val="00FF45A5"/>
    <w:rsid w:val="00FF54D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76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347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76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paragraph" w:customStyle="1" w:styleId="IvDInstructiontext">
    <w:name w:val="IvD Instructiontext"/>
    <w:basedOn w:val="BodyText"/>
    <w:link w:val="IvDInstructiontextChar"/>
    <w:uiPriority w:val="99"/>
    <w:qFormat/>
    <w:rsid w:val="00021340"/>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021340"/>
    <w:rPr>
      <w:rFonts w:ascii="Arial" w:eastAsiaTheme="minorHAnsi" w:hAnsi="Arial" w:cstheme="minorBidi"/>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390">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3021791">
      <w:bodyDiv w:val="1"/>
      <w:marLeft w:val="0"/>
      <w:marRight w:val="0"/>
      <w:marTop w:val="0"/>
      <w:marBottom w:val="0"/>
      <w:divBdr>
        <w:top w:val="none" w:sz="0" w:space="0" w:color="auto"/>
        <w:left w:val="none" w:sz="0" w:space="0" w:color="auto"/>
        <w:bottom w:val="none" w:sz="0" w:space="0" w:color="auto"/>
        <w:right w:val="none" w:sz="0" w:space="0" w:color="auto"/>
      </w:divBdr>
    </w:div>
    <w:div w:id="395977883">
      <w:bodyDiv w:val="1"/>
      <w:marLeft w:val="0"/>
      <w:marRight w:val="0"/>
      <w:marTop w:val="0"/>
      <w:marBottom w:val="0"/>
      <w:divBdr>
        <w:top w:val="none" w:sz="0" w:space="0" w:color="auto"/>
        <w:left w:val="none" w:sz="0" w:space="0" w:color="auto"/>
        <w:bottom w:val="none" w:sz="0" w:space="0" w:color="auto"/>
        <w:right w:val="none" w:sz="0" w:space="0" w:color="auto"/>
      </w:divBdr>
    </w:div>
    <w:div w:id="398216347">
      <w:bodyDiv w:val="1"/>
      <w:marLeft w:val="0"/>
      <w:marRight w:val="0"/>
      <w:marTop w:val="0"/>
      <w:marBottom w:val="0"/>
      <w:divBdr>
        <w:top w:val="none" w:sz="0" w:space="0" w:color="auto"/>
        <w:left w:val="none" w:sz="0" w:space="0" w:color="auto"/>
        <w:bottom w:val="none" w:sz="0" w:space="0" w:color="auto"/>
        <w:right w:val="none" w:sz="0" w:space="0" w:color="auto"/>
      </w:divBdr>
    </w:div>
    <w:div w:id="41543862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29606194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208915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DC134-79C5-4371-AAA6-E3740867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2019-08-17T02:43:00Z</dcterms:created>
  <dcterms:modified xsi:type="dcterms:W3CDTF">2019-08-17T02:43:00Z</dcterms:modified>
  <cp:category/>
</cp:coreProperties>
</file>